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60630x10q.htm"/>
        <w:bookmarkStart w:id="1" w:name="kstmb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09d4579f_6ebd_427a_8e0d_93fdd9a9fd1a"/>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center"/>
        <w:rPr/>
      </w:pPr>
      <w:r>
        <w:rPr/>
        <w:t>​</w:t>
      </w:r>
    </w:p>
    <w:tbl>
      <w:tblPr>
        <w:tblW w:w="9017" w:type="dxa"/>
        <w:jc w:val="left"/>
        <w:tblInd w:w="0" w:type="dxa"/>
        <w:tblLayout w:type="fixed"/>
        <w:tblCellMar>
          <w:top w:w="0" w:type="dxa"/>
          <w:left w:w="0" w:type="dxa"/>
          <w:bottom w:w="0" w:type="dxa"/>
          <w:right w:w="0" w:type="dxa"/>
        </w:tblCellMar>
      </w:tblPr>
      <w:tblGrid>
        <w:gridCol w:w="331"/>
        <w:gridCol w:w="8686"/>
      </w:tblGrid>
      <w:tr>
        <w:trPr/>
        <w:tc>
          <w:tcPr>
            <w:tcW w:w="331" w:type="dxa"/>
            <w:tcBorders/>
            <w:vAlign w:val="center"/>
          </w:tcPr>
          <w:p>
            <w:pPr>
              <w:pStyle w:val="TableContents"/>
              <w:bidi w:val="0"/>
              <w:spacing w:before="0" w:after="0"/>
              <w:jc w:val="left"/>
              <w:rPr/>
            </w:pPr>
            <w:r>
              <w:rPr/>
              <w:t>☒</w:t>
            </w:r>
          </w:p>
        </w:tc>
        <w:tc>
          <w:tcPr>
            <w:tcW w:w="8686" w:type="dxa"/>
            <w:tcBorders/>
            <w:vAlign w:val="center"/>
          </w:tcPr>
          <w:p>
            <w:pPr>
              <w:pStyle w:val="TableContents"/>
              <w:bidi w:val="0"/>
              <w:spacing w:before="0" w:after="0"/>
              <w:jc w:val="left"/>
              <w:rPr>
                <w:rFonts w:ascii="Times New Roman;Times;serif" w:hAnsi="Times New Roman;Times;serif"/>
                <w:b/>
                <w:sz w:val="16"/>
              </w:rPr>
            </w:pPr>
            <w:r>
              <w:rPr>
                <w:rFonts w:ascii="Times New Roman;Times;serif" w:hAnsi="Times New Roman;Times;serif"/>
                <w:b/>
                <w:sz w:val="16"/>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center"/>
        <w:rPr/>
      </w:pPr>
      <w:r>
        <w:rPr/>
        <w:t>​</w:t>
      </w:r>
    </w:p>
    <w:tbl>
      <w:tblPr>
        <w:tblW w:w="9002" w:type="dxa"/>
        <w:jc w:val="left"/>
        <w:tblInd w:w="0" w:type="dxa"/>
        <w:tblLayout w:type="fixed"/>
        <w:tblCellMar>
          <w:top w:w="0" w:type="dxa"/>
          <w:left w:w="0" w:type="dxa"/>
          <w:bottom w:w="0" w:type="dxa"/>
          <w:right w:w="0" w:type="dxa"/>
        </w:tblCellMar>
      </w:tblPr>
      <w:tblGrid>
        <w:gridCol w:w="331"/>
        <w:gridCol w:w="8671"/>
      </w:tblGrid>
      <w:tr>
        <w:trPr/>
        <w:tc>
          <w:tcPr>
            <w:tcW w:w="331" w:type="dxa"/>
            <w:tcBorders/>
            <w:vAlign w:val="center"/>
          </w:tcPr>
          <w:p>
            <w:pPr>
              <w:pStyle w:val="TableContents"/>
              <w:bidi w:val="0"/>
              <w:spacing w:before="0" w:after="0"/>
              <w:jc w:val="left"/>
              <w:rPr/>
            </w:pPr>
            <w:r>
              <w:rPr/>
              <w:t>☐</w:t>
            </w:r>
          </w:p>
        </w:tc>
        <w:tc>
          <w:tcPr>
            <w:tcW w:w="8671" w:type="dxa"/>
            <w:tcBorders/>
            <w:vAlign w:val="center"/>
          </w:tcPr>
          <w:p>
            <w:pPr>
              <w:pStyle w:val="TableContents"/>
              <w:bidi w:val="0"/>
              <w:spacing w:before="0" w:after="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___________ to ___________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001-43243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Yesway,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AYWUfhRV1UyWJ2jwofsx1A_1_1"/>
      <w:bookmarkStart w:id="4" w:name="Tc_8a97TLSspUe_AMpjRCoreQ_1_0"/>
      <w:bookmarkStart w:id="5" w:name="_a9f75873_6b97_4929_b344_4a81b178a784"/>
      <w:bookmarkStart w:id="6" w:name="Tc_AYWUfhRV1UyWJ2jwofsx1A_1_1"/>
      <w:bookmarkStart w:id="7" w:name="Tc_8a97TLSspUe_AMpjRCoreQ_1_0"/>
      <w:bookmarkStart w:id="8" w:name="_a9f75873_6b97_4929_b344_4a81b178a784"/>
      <w:bookmarkEnd w:id="6"/>
      <w:bookmarkEnd w:id="7"/>
      <w:bookmarkEnd w:id="8"/>
    </w:p>
    <w:tbl>
      <w:tblPr>
        <w:tblW w:w="3677" w:type="dxa"/>
        <w:jc w:val="left"/>
        <w:tblInd w:w="0" w:type="dxa"/>
        <w:tblLayout w:type="fixed"/>
        <w:tblCellMar>
          <w:top w:w="0" w:type="dxa"/>
          <w:left w:w="0" w:type="dxa"/>
          <w:bottom w:w="0" w:type="dxa"/>
          <w:right w:w="0" w:type="dxa"/>
        </w:tblCellMar>
      </w:tblPr>
      <w:tblGrid>
        <w:gridCol w:w="2236"/>
        <w:gridCol w:w="1441"/>
      </w:tblGrid>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86-3446060</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2301 Eagle Parkway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Fort Worth, TX</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registrant’s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76177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(682) 428-2400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9" w:name="Tc_vz6JvEcR9EqGEavS3Zxqyg_0_4"/>
      <w:bookmarkStart w:id="10" w:name="Tc_JRH0Fw0tSkyPB0QgYV54JA_0_2"/>
      <w:bookmarkStart w:id="11" w:name="Tc__Sj06t03EE2Jh22HsBbkFg_0_0"/>
      <w:bookmarkStart w:id="12" w:name="_847c070a_b711_4a16_851d_e986ddb1b215"/>
      <w:bookmarkStart w:id="13" w:name="Tc_vz6JvEcR9EqGEavS3Zxqyg_0_4"/>
      <w:bookmarkStart w:id="14" w:name="Tc_JRH0Fw0tSkyPB0QgYV54JA_0_2"/>
      <w:bookmarkStart w:id="15" w:name="Tc__Sj06t03EE2Jh22HsBbkFg_0_0"/>
      <w:bookmarkStart w:id="16" w:name="_847c070a_b711_4a16_851d_e986ddb1b215"/>
      <w:bookmarkEnd w:id="13"/>
      <w:bookmarkEnd w:id="14"/>
      <w:bookmarkEnd w:id="15"/>
      <w:bookmarkEnd w:id="16"/>
    </w:p>
    <w:tbl>
      <w:tblPr>
        <w:tblW w:w="9665" w:type="dxa"/>
        <w:jc w:val="left"/>
        <w:tblInd w:w="0" w:type="dxa"/>
        <w:tblLayout w:type="fixed"/>
        <w:tblCellMar>
          <w:top w:w="0" w:type="dxa"/>
          <w:left w:w="0" w:type="dxa"/>
          <w:bottom w:w="28" w:type="dxa"/>
          <w:right w:w="0" w:type="dxa"/>
        </w:tblCellMar>
      </w:tblPr>
      <w:tblGrid>
        <w:gridCol w:w="3646"/>
        <w:gridCol w:w="346"/>
        <w:gridCol w:w="1621"/>
        <w:gridCol w:w="346"/>
        <w:gridCol w:w="3706"/>
      </w:tblGrid>
      <w:tr>
        <w:trPr/>
        <w:tc>
          <w:tcPr>
            <w:tcW w:w="364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16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37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4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Class A Common Stock, par value $0.0001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YSWY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Select Market</w:t>
            </w:r>
          </w:p>
        </w:tc>
      </w:tr>
    </w:tbl>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such shorter period that the registrant was required to submit such files. Yes ☒  No ☐</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pPr>
      <w:r>
        <w:rPr/>
        <w:t>​</w:t>
      </w:r>
    </w:p>
    <w:tbl>
      <w:tblPr>
        <w:tblW w:w="7158" w:type="dxa"/>
        <w:jc w:val="left"/>
        <w:tblInd w:w="0" w:type="dxa"/>
        <w:tblLayout w:type="fixed"/>
        <w:tblCellMar>
          <w:top w:w="0" w:type="dxa"/>
          <w:left w:w="0" w:type="dxa"/>
          <w:bottom w:w="0" w:type="dxa"/>
          <w:right w:w="0" w:type="dxa"/>
        </w:tblCellMar>
      </w:tblPr>
      <w:tblGrid>
        <w:gridCol w:w="2551"/>
        <w:gridCol w:w="2536"/>
        <w:gridCol w:w="2071"/>
      </w:tblGrid>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r>
      <w:tr>
        <w:trPr/>
        <w:tc>
          <w:tcPr>
            <w:tcW w:w="2551"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20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 had 31,185,561 shares of Class A common stock and 32,009,185 shares of Class B common stock outstanding as of August 12, 2026.</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 w:name="_78a99bc3_3fab_4e22_ae74_846d48ed2ee0"/>
      <w:bookmarkEnd w:id="17"/>
      <w:r>
        <w:rPr>
          <w:rFonts w:ascii="Times New Roman;Times;serif" w:hAnsi="Times New Roman;Times;serif"/>
          <w:b/>
          <w:sz w:val="20"/>
        </w:rPr>
        <w:t>Yesway, Inc.</w:t>
      </w:r>
    </w:p>
    <w:p>
      <w:pPr>
        <w:pStyle w:val="TextBody"/>
        <w:bidi w:val="0"/>
        <w:spacing w:before="0" w:after="0"/>
        <w:ind w:left="0" w:right="0" w:hanging="0"/>
        <w:jc w:val="center"/>
        <w:rPr>
          <w:rFonts w:ascii="Times New Roman;Times;serif" w:hAnsi="Times New Roman;Times;serif"/>
          <w:b/>
          <w:sz w:val="20"/>
        </w:rPr>
      </w:pPr>
      <w:bookmarkStart w:id="18" w:name="TOC"/>
      <w:bookmarkEnd w:id="18"/>
      <w:r>
        <w:rPr>
          <w:rFonts w:ascii="Times New Roman;Times;serif" w:hAnsi="Times New Roman;Times;serif"/>
          <w:b/>
          <w:sz w:val="20"/>
        </w:rPr>
        <w:t>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01"/>
        <w:gridCol w:w="8493"/>
        <w:gridCol w:w="511"/>
      </w:tblGrid>
      <w:tr>
        <w:trPr/>
        <w:tc>
          <w:tcPr>
            <w:tcW w:w="1201" w:type="dxa"/>
            <w:tcBorders/>
            <w:vAlign w:val="center"/>
          </w:tcPr>
          <w:p>
            <w:pPr>
              <w:pStyle w:val="TableContents"/>
              <w:bidi w:val="0"/>
              <w:spacing w:before="0" w:after="0"/>
              <w:ind w:left="0" w:right="0" w:hanging="0"/>
              <w:jc w:val="left"/>
              <w:rPr/>
            </w:pPr>
            <w:r>
              <w:rPr/>
              <w:t>​</w:t>
            </w:r>
          </w:p>
        </w:tc>
        <w:tc>
          <w:tcPr>
            <w:tcW w:w="8493"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 FINANCIAL INFORMATION</w:t>
            </w:r>
          </w:p>
        </w:tc>
        <w:tc>
          <w:tcPr>
            <w:tcW w:w="5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4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 (Unaudited)</w:t>
            </w:r>
          </w:p>
        </w:tc>
        <w:tc>
          <w:tcPr>
            <w:tcW w:w="511" w:type="dxa"/>
            <w:tcBorders/>
            <w:vAlign w:val="center"/>
          </w:tcPr>
          <w:p>
            <w:pPr>
              <w:pStyle w:val="TableContents"/>
              <w:bidi w:val="0"/>
              <w:spacing w:before="0" w:after="0"/>
              <w:ind w:left="0" w:right="0" w:hanging="0"/>
              <w:jc w:val="center"/>
              <w:rPr/>
            </w:pPr>
            <w:r>
              <w:rPr/>
              <w:t>​</w:t>
            </w:r>
          </w:p>
        </w:tc>
      </w:tr>
      <w:tr>
        <w:trPr/>
        <w:tc>
          <w:tcPr>
            <w:tcW w:w="1201" w:type="dxa"/>
            <w:tcBorders/>
            <w:vAlign w:val="center"/>
          </w:tcPr>
          <w:p>
            <w:pPr>
              <w:pStyle w:val="TableContents"/>
              <w:bidi w:val="0"/>
              <w:spacing w:before="0" w:after="0"/>
              <w:ind w:left="0" w:right="0" w:hanging="0"/>
              <w:jc w:val="left"/>
              <w:rPr/>
            </w:pPr>
            <w:r>
              <w:rPr/>
              <w:t>​</w:t>
            </w:r>
          </w:p>
        </w:tc>
        <w:tc>
          <w:tcPr>
            <w:tcW w:w="84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Yesway, Inc.</w:t>
            </w:r>
          </w:p>
        </w:tc>
        <w:tc>
          <w:tcPr>
            <w:tcW w:w="511" w:type="dxa"/>
            <w:tcBorders/>
            <w:vAlign w:val="center"/>
          </w:tcPr>
          <w:p>
            <w:pPr>
              <w:pStyle w:val="TableContents"/>
              <w:bidi w:val="0"/>
              <w:spacing w:before="0" w:after="0"/>
              <w:ind w:left="0" w:right="0" w:hanging="0"/>
              <w:jc w:val="center"/>
              <w:rPr/>
            </w:pPr>
            <w:r>
              <w:rPr/>
              <w:t>​</w:t>
            </w:r>
          </w:p>
        </w:tc>
      </w:tr>
      <w:tr>
        <w:trPr/>
        <w:tc>
          <w:tcPr>
            <w:tcW w:w="1201" w:type="dxa"/>
            <w:tcBorders/>
            <w:vAlign w:val="center"/>
          </w:tcPr>
          <w:p>
            <w:pPr>
              <w:pStyle w:val="TableContents"/>
              <w:bidi w:val="0"/>
              <w:spacing w:before="0" w:after="0"/>
              <w:ind w:left="0" w:right="0" w:hanging="0"/>
              <w:jc w:val="left"/>
              <w:rPr/>
            </w:pPr>
            <w:r>
              <w:rPr/>
              <w:t>​</w:t>
            </w:r>
          </w:p>
        </w:tc>
        <w:tc>
          <w:tcPr>
            <w:tcW w:w="8493" w:type="dxa"/>
            <w:tcBorders/>
            <w:vAlign w:val="center"/>
          </w:tcPr>
          <w:p>
            <w:pPr>
              <w:pStyle w:val="TableContents"/>
              <w:bidi w:val="0"/>
              <w:spacing w:before="0" w:after="0"/>
              <w:ind w:left="0" w:right="0" w:hanging="0"/>
              <w:jc w:val="left"/>
              <w:rPr/>
            </w:pPr>
            <w:hyperlink w:anchor="CondensedConsolidatedBalanceSheetsUnaudi">
              <w:r>
                <w:rPr>
                  <w:rStyle w:val="InternetLink"/>
                  <w:rFonts w:ascii="Times New Roman;Times;serif" w:hAnsi="Times New Roman;Times;serif"/>
                  <w:b w:val="false"/>
                  <w:i w:val="false"/>
                  <w:caps w:val="false"/>
                  <w:smallCaps w:val="false"/>
                  <w:sz w:val="20"/>
                </w:rPr>
                <w:t>Condensed Consolidated Balance Sheets as of June 30, 2026, and December 31, 2025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1201" w:type="dxa"/>
            <w:tcBorders/>
            <w:vAlign w:val="center"/>
          </w:tcPr>
          <w:p>
            <w:pPr>
              <w:pStyle w:val="TableContents"/>
              <w:bidi w:val="0"/>
              <w:spacing w:before="0" w:after="0"/>
              <w:ind w:left="0" w:right="0" w:hanging="0"/>
              <w:jc w:val="left"/>
              <w:rPr/>
            </w:pPr>
            <w:r>
              <w:rPr/>
              <w:t>​</w:t>
            </w:r>
          </w:p>
        </w:tc>
        <w:tc>
          <w:tcPr>
            <w:tcW w:w="8493" w:type="dxa"/>
            <w:tcBorders/>
            <w:vAlign w:val="center"/>
          </w:tcPr>
          <w:p>
            <w:pPr>
              <w:pStyle w:val="TableContents"/>
              <w:bidi w:val="0"/>
              <w:spacing w:before="0" w:after="0"/>
              <w:ind w:left="0" w:right="0" w:hanging="0"/>
              <w:jc w:val="left"/>
              <w:rPr/>
            </w:pPr>
            <w:hyperlink w:anchor="CondensedConsolidatedStatementsofIncomeU">
              <w:r>
                <w:rPr>
                  <w:rStyle w:val="InternetLink"/>
                  <w:rFonts w:ascii="Times New Roman;Times;serif" w:hAnsi="Times New Roman;Times;serif"/>
                  <w:b w:val="false"/>
                  <w:i w:val="false"/>
                  <w:caps w:val="false"/>
                  <w:smallCaps w:val="false"/>
                  <w:sz w:val="20"/>
                </w:rPr>
                <w:t>Condensed Consolidated Statements of Income</w:t>
              </w:r>
            </w:hyperlink>
            <w:hyperlink w:anchor="CondensedConsolidatedStatementsofIncomeU">
              <w:r>
                <w:rPr>
                  <w:rStyle w:val="InternetLink"/>
                  <w:rFonts w:ascii="Times New Roman;Times;serif" w:hAnsi="Times New Roman;Times;serif"/>
                  <w:caps w:val="false"/>
                  <w:smallCaps w:val="false"/>
                  <w:sz w:val="20"/>
                </w:rPr>
                <w:t xml:space="preserve"> </w:t>
              </w:r>
            </w:hyperlink>
            <w:hyperlink w:anchor="CondensedConsolidatedStatementsofIncomeU">
              <w:r>
                <w:rPr>
                  <w:rStyle w:val="InternetLink"/>
                  <w:rFonts w:ascii="Times New Roman;Times;serif" w:hAnsi="Times New Roman;Times;serif"/>
                  <w:b w:val="false"/>
                  <w:i w:val="false"/>
                  <w:caps w:val="false"/>
                  <w:smallCaps w:val="false"/>
                  <w:sz w:val="20"/>
                </w:rPr>
                <w:t>for the three and</w:t>
              </w:r>
            </w:hyperlink>
            <w:hyperlink w:anchor="CondensedConsolidatedStatementsofIncomeU">
              <w:r>
                <w:rPr>
                  <w:rStyle w:val="InternetLink"/>
                  <w:rFonts w:ascii="Times New Roman;Times;serif" w:hAnsi="Times New Roman;Times;serif"/>
                  <w:caps w:val="false"/>
                  <w:smallCaps w:val="false"/>
                  <w:sz w:val="20"/>
                </w:rPr>
                <w:t xml:space="preserve"> </w:t>
              </w:r>
            </w:hyperlink>
            <w:hyperlink w:anchor="CondensedConsolidatedStatementsofIncomeU">
              <w:r>
                <w:rPr>
                  <w:rStyle w:val="InternetLink"/>
                  <w:rFonts w:ascii="Times New Roman;Times;serif" w:hAnsi="Times New Roman;Times;serif"/>
                  <w:b w:val="false"/>
                  <w:i w:val="false"/>
                  <w:caps w:val="false"/>
                  <w:smallCaps w:val="false"/>
                  <w:sz w:val="20"/>
                </w:rPr>
                <w:t>six months ended June 30, 2026, and June 30, 2025,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1201" w:type="dxa"/>
            <w:tcBorders/>
            <w:vAlign w:val="center"/>
          </w:tcPr>
          <w:p>
            <w:pPr>
              <w:pStyle w:val="TableContents"/>
              <w:bidi w:val="0"/>
              <w:spacing w:before="0" w:after="0"/>
              <w:ind w:left="0" w:right="0" w:hanging="0"/>
              <w:jc w:val="left"/>
              <w:rPr/>
            </w:pPr>
            <w:r>
              <w:rPr/>
              <w:t>​</w:t>
            </w:r>
          </w:p>
        </w:tc>
        <w:tc>
          <w:tcPr>
            <w:tcW w:w="8493" w:type="dxa"/>
            <w:tcBorders/>
            <w:vAlign w:val="center"/>
          </w:tcPr>
          <w:p>
            <w:pPr>
              <w:pStyle w:val="TableContents"/>
              <w:bidi w:val="0"/>
              <w:spacing w:before="0" w:after="0"/>
              <w:ind w:left="0" w:right="0" w:hanging="0"/>
              <w:jc w:val="left"/>
              <w:rPr/>
            </w:pPr>
            <w:hyperlink w:anchor="YeswayIncEquity">
              <w:r>
                <w:rPr>
                  <w:rStyle w:val="InternetLink"/>
                  <w:rFonts w:ascii="Times New Roman;Times;serif" w:hAnsi="Times New Roman;Times;serif"/>
                  <w:b w:val="false"/>
                  <w:i w:val="false"/>
                  <w:caps w:val="false"/>
                  <w:smallCaps w:val="false"/>
                  <w:sz w:val="20"/>
                </w:rPr>
                <w:t xml:space="preserve">Condensed Consolidated Statements of Changes in Redeemable Senior Preferred Membership Interests and Stockholders’/Members’ Equity (Unaudited) </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r>
      <w:tr>
        <w:trPr/>
        <w:tc>
          <w:tcPr>
            <w:tcW w:w="1201" w:type="dxa"/>
            <w:tcBorders/>
            <w:vAlign w:val="center"/>
          </w:tcPr>
          <w:p>
            <w:pPr>
              <w:pStyle w:val="TableContents"/>
              <w:bidi w:val="0"/>
              <w:spacing w:before="0" w:after="0"/>
              <w:ind w:left="0" w:right="0" w:hanging="0"/>
              <w:jc w:val="left"/>
              <w:rPr/>
            </w:pPr>
            <w:r>
              <w:rPr/>
              <w:t>​</w:t>
            </w:r>
          </w:p>
        </w:tc>
        <w:tc>
          <w:tcPr>
            <w:tcW w:w="8493" w:type="dxa"/>
            <w:tcBorders/>
            <w:vAlign w:val="center"/>
          </w:tcPr>
          <w:p>
            <w:pPr>
              <w:pStyle w:val="TableContents"/>
              <w:bidi w:val="0"/>
              <w:spacing w:before="0" w:after="0"/>
              <w:ind w:left="0" w:right="0" w:hanging="0"/>
              <w:jc w:val="left"/>
              <w:rPr/>
            </w:pPr>
            <w:hyperlink w:anchor="YeswayIncCashFlows">
              <w:r>
                <w:rPr>
                  <w:rStyle w:val="InternetLink"/>
                  <w:rFonts w:ascii="Times New Roman;Times;serif" w:hAnsi="Times New Roman;Times;serif"/>
                  <w:b w:val="false"/>
                  <w:i w:val="false"/>
                  <w:caps w:val="false"/>
                  <w:smallCaps w:val="false"/>
                  <w:sz w:val="20"/>
                </w:rPr>
                <w:t>Condensed Consolidated Statements of Cash Flows for the six months ended June 30, 2026, and June 30, 2025,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1201" w:type="dxa"/>
            <w:tcBorders/>
            <w:vAlign w:val="center"/>
          </w:tcPr>
          <w:p>
            <w:pPr>
              <w:pStyle w:val="TableContents"/>
              <w:bidi w:val="0"/>
              <w:spacing w:before="0" w:after="0"/>
              <w:ind w:left="0" w:right="0" w:hanging="0"/>
              <w:jc w:val="left"/>
              <w:rPr/>
            </w:pPr>
            <w:r>
              <w:rPr/>
              <w:t>​</w:t>
            </w:r>
          </w:p>
        </w:tc>
        <w:tc>
          <w:tcPr>
            <w:tcW w:w="8493" w:type="dxa"/>
            <w:tcBorders/>
            <w:vAlign w:val="center"/>
          </w:tcPr>
          <w:p>
            <w:pPr>
              <w:pStyle w:val="TableContents"/>
              <w:bidi w:val="0"/>
              <w:spacing w:before="0" w:after="0"/>
              <w:ind w:left="0" w:right="0" w:hanging="0"/>
              <w:jc w:val="left"/>
              <w:rPr/>
            </w:pPr>
            <w:hyperlink w:anchor="YeswayIncNotesToTheF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r>
      <w:tr>
        <w:trPr/>
        <w:tc>
          <w:tcPr>
            <w:tcW w:w="1201" w:type="dxa"/>
            <w:tcBorders/>
            <w:vAlign w:val="center"/>
          </w:tcPr>
          <w:p>
            <w:pPr>
              <w:pStyle w:val="TableContents"/>
              <w:bidi w:val="0"/>
              <w:spacing w:before="0" w:after="0"/>
              <w:ind w:left="0" w:right="0" w:hanging="0"/>
              <w:jc w:val="left"/>
              <w:rPr/>
            </w:pPr>
            <w:hyperlink w:anchor="Item2ManagementsDiscussionandAnal">
              <w:r>
                <w:rPr>
                  <w:rStyle w:val="InternetLink"/>
                  <w:rFonts w:ascii="Times New Roman;Times;serif" w:hAnsi="Times New Roman;Times;serif"/>
                  <w:b w:val="false"/>
                  <w:i w:val="false"/>
                  <w:caps w:val="false"/>
                  <w:smallCaps w:val="false"/>
                  <w:sz w:val="20"/>
                </w:rPr>
                <w:t>Item 2.</w:t>
              </w:r>
            </w:hyperlink>
          </w:p>
        </w:tc>
        <w:tc>
          <w:tcPr>
            <w:tcW w:w="8493" w:type="dxa"/>
            <w:tcBorders/>
            <w:vAlign w:val="center"/>
          </w:tcPr>
          <w:p>
            <w:pPr>
              <w:pStyle w:val="TableContents"/>
              <w:bidi w:val="0"/>
              <w:spacing w:before="0" w:after="0"/>
              <w:ind w:left="0" w:right="0" w:hanging="0"/>
              <w:jc w:val="left"/>
              <w:rPr/>
            </w:pPr>
            <w:hyperlink w:anchor="Item2ManagementsDiscussionandAnal">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1201" w:type="dxa"/>
            <w:tcBorders/>
            <w:vAlign w:val="center"/>
          </w:tcPr>
          <w:p>
            <w:pPr>
              <w:pStyle w:val="TableContents"/>
              <w:bidi w:val="0"/>
              <w:spacing w:before="0" w:after="0"/>
              <w:ind w:left="0" w:right="0" w:hanging="0"/>
              <w:jc w:val="left"/>
              <w:rPr/>
            </w:pPr>
            <w:hyperlink w:anchor="Item3QuantitativeandQualitative">
              <w:r>
                <w:rPr>
                  <w:rStyle w:val="InternetLink"/>
                  <w:rFonts w:ascii="Times New Roman;Times;serif" w:hAnsi="Times New Roman;Times;serif"/>
                  <w:b w:val="false"/>
                  <w:i w:val="false"/>
                  <w:caps w:val="false"/>
                  <w:smallCaps w:val="false"/>
                  <w:sz w:val="20"/>
                </w:rPr>
                <w:t>Item 3.</w:t>
              </w:r>
            </w:hyperlink>
          </w:p>
        </w:tc>
        <w:tc>
          <w:tcPr>
            <w:tcW w:w="8493" w:type="dxa"/>
            <w:tcBorders/>
            <w:vAlign w:val="center"/>
          </w:tcPr>
          <w:p>
            <w:pPr>
              <w:pStyle w:val="TableContents"/>
              <w:bidi w:val="0"/>
              <w:spacing w:before="0" w:after="0"/>
              <w:ind w:left="0" w:right="0" w:hanging="0"/>
              <w:jc w:val="left"/>
              <w:rPr/>
            </w:pPr>
            <w:hyperlink w:anchor="Item3QuantitativeandQualitative">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1201" w:type="dxa"/>
            <w:tcBorders/>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8493" w:type="dxa"/>
            <w:tcBorders/>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9694"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b w:val="false"/>
                  <w:i w:val="false"/>
                  <w:caps w:val="false"/>
                  <w:smallCaps w:val="false"/>
                  <w:sz w:val="20"/>
                </w:rPr>
                <w:t>Part II OTHER INFORMATION</w:t>
              </w:r>
            </w:hyperlink>
          </w:p>
        </w:tc>
        <w:tc>
          <w:tcPr>
            <w:tcW w:w="511" w:type="dxa"/>
            <w:tcBorders/>
            <w:vAlign w:val="center"/>
          </w:tcPr>
          <w:p>
            <w:pPr>
              <w:pStyle w:val="TableContents"/>
              <w:bidi w:val="0"/>
              <w:spacing w:before="0" w:after="0"/>
              <w:ind w:left="0" w:right="0" w:hanging="0"/>
              <w:jc w:val="center"/>
              <w:rPr/>
            </w:pPr>
            <w:r>
              <w:rPr/>
              <w:t>​</w:t>
            </w:r>
          </w:p>
        </w:tc>
      </w:tr>
      <w:tr>
        <w:trPr/>
        <w:tc>
          <w:tcPr>
            <w:tcW w:w="1201" w:type="dxa"/>
            <w:tcBorders/>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8493" w:type="dxa"/>
            <w:tcBorders/>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1201"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 A.</w:t>
              </w:r>
            </w:hyperlink>
          </w:p>
        </w:tc>
        <w:tc>
          <w:tcPr>
            <w:tcW w:w="8493"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1201" w:type="dxa"/>
            <w:tcBorders/>
            <w:vAlign w:val="center"/>
          </w:tcPr>
          <w:p>
            <w:pPr>
              <w:pStyle w:val="TableContents"/>
              <w:bidi w:val="0"/>
              <w:spacing w:before="0" w:after="0"/>
              <w:ind w:left="0" w:right="0" w:hanging="0"/>
              <w:jc w:val="left"/>
              <w:rPr/>
            </w:pPr>
            <w:hyperlink w:anchor="Item_2_Unregistered_Sales_of_Equity">
              <w:r>
                <w:rPr>
                  <w:rStyle w:val="InternetLink"/>
                  <w:rFonts w:ascii="Times New Roman;Times;serif" w:hAnsi="Times New Roman;Times;serif"/>
                  <w:b w:val="false"/>
                  <w:i w:val="false"/>
                  <w:caps w:val="false"/>
                  <w:smallCaps w:val="false"/>
                  <w:sz w:val="20"/>
                </w:rPr>
                <w:t>Item 2.</w:t>
              </w:r>
            </w:hyperlink>
          </w:p>
        </w:tc>
        <w:tc>
          <w:tcPr>
            <w:tcW w:w="8493" w:type="dxa"/>
            <w:tcBorders/>
            <w:vAlign w:val="center"/>
          </w:tcPr>
          <w:p>
            <w:pPr>
              <w:pStyle w:val="TableContents"/>
              <w:bidi w:val="0"/>
              <w:spacing w:before="0" w:after="0"/>
              <w:ind w:left="0" w:right="0" w:hanging="0"/>
              <w:jc w:val="left"/>
              <w:rPr/>
            </w:pPr>
            <w:hyperlink w:anchor="Item_2_Unregistered_Sales_of_Equity">
              <w:r>
                <w:rPr>
                  <w:rStyle w:val="InternetLink"/>
                  <w:rFonts w:ascii="Times New Roman;Times;serif" w:hAnsi="Times New Roman;Times;serif"/>
                  <w:b w:val="false"/>
                  <w:i w:val="false"/>
                  <w:caps w:val="false"/>
                  <w:smallCaps w:val="false"/>
                  <w:sz w:val="20"/>
                </w:rPr>
                <w:t>Unregistered Sales and Equity Securities and Use of Proceeds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1201"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Times;serif" w:hAnsi="Times New Roman;Times;serif"/>
                  <w:b w:val="false"/>
                  <w:i w:val="false"/>
                  <w:caps w:val="false"/>
                  <w:smallCaps w:val="false"/>
                  <w:sz w:val="20"/>
                </w:rPr>
                <w:t>Item 3</w:t>
              </w:r>
            </w:hyperlink>
          </w:p>
        </w:tc>
        <w:tc>
          <w:tcPr>
            <w:tcW w:w="8493"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1201"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Times;serif" w:hAnsi="Times New Roman;Times;serif"/>
                  <w:b w:val="false"/>
                  <w:i w:val="false"/>
                  <w:caps w:val="false"/>
                  <w:smallCaps w:val="false"/>
                  <w:sz w:val="20"/>
                </w:rPr>
                <w:t>Item 4</w:t>
              </w:r>
            </w:hyperlink>
          </w:p>
        </w:tc>
        <w:tc>
          <w:tcPr>
            <w:tcW w:w="8493"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Times;serif" w:hAnsi="Times New Roman;Times;serif"/>
                  <w:b w:val="false"/>
                  <w:i w:val="false"/>
                  <w:caps w:val="false"/>
                  <w:smallCaps w:val="false"/>
                  <w:sz w:val="20"/>
                </w:rPr>
                <w:t>Mine Safety Disclosures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1201"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8493"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1201" w:type="dxa"/>
            <w:tcBorders/>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8493" w:type="dxa"/>
            <w:tcBorders/>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1201"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w:t>
              </w:r>
            </w:hyperlink>
          </w:p>
        </w:tc>
        <w:tc>
          <w:tcPr>
            <w:tcW w:w="849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9" w:name="_a46c84d6_5d0c_4d3e_8d09_856436896b97"/>
      <w:bookmarkEnd w:id="19"/>
      <w:r>
        <w:rPr>
          <w:rFonts w:ascii="Times New Roman;Times;serif" w:hAnsi="Times New Roman;Times;serif"/>
          <w:b/>
          <w:sz w:val="20"/>
        </w:rPr>
        <w:t>CAUTIONARY NOTE REGARDING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Some information in this Quarterly Report on Form 10-Q (this "Quarterly Report") contains forward-looking statements that involve substantial risks and uncertainties.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Forward-looking statements contained in this Quarterly Report include, but are not limited to, statements regarding our future results of operations and financial position, industry trends, business strategy and plans, and objectives of management for future operations, including, among others, expected growth, future capital expenditures, and debt service obligations. In some cases, you can identify forward-looking statements by terms, such as “may,” “will,” “would,” “should,” “expects,” “plans,” “anticipates,” “could,” “intends,” “targets,” “projects,” “contemplates,” “believes,” “estimates,” “predicts,” “potential,” or “continue,” or the negative of these terms or other similar expressions. </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global prices and availability of oil and petroleum products and general economic conditions that are out of our control, including interest rates;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implement our rapid growth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 adequate pipeline of suitable locations for new stores and manage the risks associated with new store development;</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recruit, hire, and retain qualified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upon market acceptance by consumers and our failure to offer products that meet our existing customers’ taste and attract new customers;</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wage regulations and other employment and labor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demand for fuel-based modes of transportation and advancements in technologies, such as hybrid and electric vehicles, that significantly reduce fuel consumption related to the public’s current general approach with regard to climate change and the effects of greenhouse gas emissions, among others;</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 limited number of suppliers for the majority of our gross fuel purchases and merchandise;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hazards and risks normally associated with marketing of petroleum products, as well as hazards and risks relating to the physical effects of weather and climate 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to tobacco legislation, potential court rulings affecting the tobacco industry, campaigns to discourage smoking, increases in tobacco and nicotine products taxes, and wholesale cost increases of tobacco and nicotine products;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influence that Brookwood Financial Partners, LLC continues to have over us, including control over decisions that require the approval of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Receivable Agreement with the Continuing Equity Owners and Blocker Shareholders requires us to make cash payments to them in respect of certain tax benefits to which we may become entitled, and we expect that such payments will be substantial;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other important factors discussed under “Risk Factors” in our final prospectus dated April 21, 2026, as filed with the SEC on April 23, 2026, pursuant to Rule 424(b) under the Securities Act of 1933 (the “Prospectus”) and in this Quarterly Report. </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7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0" w:name="_390e7be8_afa7_42d0_a4cf_7f3369c88e7e"/>
      <w:bookmarkEnd w:id="20"/>
      <w:r>
        <w:rPr>
          <w:rFonts w:ascii="Times New Roman;Times;serif" w:hAnsi="Times New Roman;Times;serif"/>
          <w:b/>
          <w:sz w:val="20"/>
        </w:rPr>
        <w:t>CERTAIN DEFINITIONS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used in this Quarterly Report, unless the context otherwise requires:</w:t>
      </w:r>
    </w:p>
    <w:p>
      <w:pPr>
        <w:pStyle w:val="TextBody"/>
        <w:bidi w:val="0"/>
        <w:spacing w:before="0" w:after="240"/>
        <w:ind w:left="0" w:right="0" w:hanging="0"/>
        <w:jc w:val="left"/>
        <w:rPr/>
      </w:pPr>
      <w:r>
        <w:rPr>
          <w:caps w:val="false"/>
          <w:smallCaps w:val="false"/>
        </w:rPr>
        <w:t>•</w:t>
      </w:r>
      <w:r>
        <w:rPr/>
        <w:t>“</w:t>
      </w:r>
      <w:r>
        <w:rPr>
          <w:rFonts w:ascii="Times New Roman;Times;serif" w:hAnsi="Times New Roman;Times;serif"/>
          <w:sz w:val="20"/>
        </w:rPr>
        <w:t>we,” “us,” “our,” the “Company,” “Yesway,” and similar references refer: (1) following the consummation of the Transactions, to Yesway, Inc., and, unless otherwise stated, all of its direct and indirect subsidiaries, including Ultimate Parent, and (2) prior to the completion of the Transactions, to Ultimate Parent and, unless otherwise stated, all of its direct and indirect subsidiaries.</w:t>
      </w:r>
    </w:p>
    <w:p>
      <w:pPr>
        <w:pStyle w:val="TextBody"/>
        <w:bidi w:val="0"/>
        <w:spacing w:before="0" w:after="240"/>
        <w:ind w:left="0" w:right="0" w:hanging="0"/>
        <w:jc w:val="left"/>
        <w:rPr/>
      </w:pPr>
      <w:r>
        <w:rPr>
          <w:caps w:val="false"/>
          <w:smallCaps w:val="false"/>
        </w:rPr>
        <w:t>•</w:t>
      </w:r>
      <w:r>
        <w:rPr/>
        <w:t>“</w:t>
      </w:r>
      <w:r>
        <w:rPr>
          <w:rFonts w:ascii="Times New Roman;Times;serif" w:hAnsi="Times New Roman;Times;serif"/>
          <w:sz w:val="20"/>
        </w:rPr>
        <w:t>Blocker Companies” refers to entities affiliated with Brookwood that were owners of LLC Interests in Ultimate Parent prior to the Transactions and are taxable as corporations for U.S. federal income tax purposes.</w:t>
      </w:r>
    </w:p>
    <w:p>
      <w:pPr>
        <w:pStyle w:val="TextBody"/>
        <w:bidi w:val="0"/>
        <w:spacing w:before="0" w:after="240"/>
        <w:ind w:left="0" w:right="0" w:hanging="0"/>
        <w:jc w:val="left"/>
        <w:rPr/>
      </w:pPr>
      <w:r>
        <w:rPr>
          <w:caps w:val="false"/>
          <w:smallCaps w:val="false"/>
        </w:rPr>
        <w:t>•</w:t>
      </w:r>
      <w:r>
        <w:rPr/>
        <w:t>“</w:t>
      </w:r>
      <w:r>
        <w:rPr>
          <w:rFonts w:ascii="Times New Roman;Times;serif" w:hAnsi="Times New Roman;Times;serif"/>
          <w:sz w:val="20"/>
        </w:rPr>
        <w:t>Blocker Shareholders” refers to entities affiliated with Brookwood, which entities were also the owners of the Blocker Companies prior to the Transactions and exchanged their interests in the Blocker Companies for shares of our Class A common stock and rights under the Tax Receivable Agreement in connection with the consummation of the Transactions.</w:t>
      </w:r>
    </w:p>
    <w:p>
      <w:pPr>
        <w:pStyle w:val="TextBody"/>
        <w:bidi w:val="0"/>
        <w:spacing w:before="0" w:after="240"/>
        <w:ind w:left="0" w:right="0" w:hanging="0"/>
        <w:jc w:val="left"/>
        <w:rPr/>
      </w:pPr>
      <w:r>
        <w:rPr>
          <w:caps w:val="false"/>
          <w:smallCaps w:val="false"/>
        </w:rPr>
        <w:t>•</w:t>
      </w:r>
      <w:r>
        <w:rPr/>
        <w:t>“</w:t>
      </w:r>
      <w:r>
        <w:rPr>
          <w:rFonts w:ascii="Times New Roman;Times;serif" w:hAnsi="Times New Roman;Times;serif"/>
          <w:sz w:val="20"/>
        </w:rPr>
        <w:t>Brookwood” refers to our sponsor Brookwood Financial Partners, LLC, a Delaware limited liability company, certain funds affiliated with Brookwood Financial Partners, LLC and other entities over which Brookwood Financial Partners, LLC has voting control (including any such fund or entity formed to hold shares of Class A common stock for the Blocker Shareholders).</w:t>
      </w:r>
    </w:p>
    <w:p>
      <w:pPr>
        <w:pStyle w:val="TextBody"/>
        <w:bidi w:val="0"/>
        <w:spacing w:before="0" w:after="240"/>
        <w:ind w:left="0" w:right="0" w:hanging="0"/>
        <w:jc w:val="left"/>
        <w:rPr/>
      </w:pPr>
      <w:r>
        <w:rPr>
          <w:caps w:val="false"/>
          <w:smallCaps w:val="false"/>
        </w:rPr>
        <w:t>•</w:t>
      </w:r>
      <w:r>
        <w:rPr/>
        <w:t>“</w:t>
      </w:r>
      <w:r>
        <w:rPr>
          <w:rFonts w:ascii="Times New Roman;Times;serif" w:hAnsi="Times New Roman;Times;serif"/>
          <w:sz w:val="20"/>
        </w:rPr>
        <w:t>Brookwood Holders” refers to the entities designated as Brookwood Holders on the Schedule of Holders to the Registration Rights Agreement between the Company and such entities (the “Brookwood Members”), together with any Affiliate of the Brookwood Members, any of its Affiliate Transferees and any Affiliate Transferee of any of the foregoing.</w:t>
      </w:r>
    </w:p>
    <w:p>
      <w:pPr>
        <w:pStyle w:val="TextBody"/>
        <w:bidi w:val="0"/>
        <w:spacing w:before="0" w:after="240"/>
        <w:ind w:left="0" w:right="0" w:hanging="0"/>
        <w:jc w:val="left"/>
        <w:rPr/>
      </w:pPr>
      <w:r>
        <w:rPr>
          <w:caps w:val="false"/>
          <w:smallCaps w:val="false"/>
        </w:rPr>
        <w:t>•</w:t>
      </w:r>
      <w:r>
        <w:rPr/>
        <w:t>“</w:t>
      </w:r>
      <w:r>
        <w:rPr>
          <w:rFonts w:ascii="Times New Roman;Times;serif" w:hAnsi="Times New Roman;Times;serif"/>
          <w:sz w:val="20"/>
        </w:rPr>
        <w:t>Continuing Equity Owners” refers collectively to holders of LLC Interests and our Class B common stock (which include Brookwood and each of our executive officers, and their respective permitted transferees) who may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(as determined solely by a majority of our independent directors (within the meaning of the rules of the Nasdaq Stock Market) who are disinterested), cash or newly issued shares of our Class A common stock.</w:t>
      </w:r>
    </w:p>
    <w:p>
      <w:pPr>
        <w:pStyle w:val="TextBody"/>
        <w:bidi w:val="0"/>
        <w:spacing w:before="0" w:after="240"/>
        <w:ind w:left="0" w:right="0" w:hanging="0"/>
        <w:jc w:val="left"/>
        <w:rPr/>
      </w:pPr>
      <w:r>
        <w:rPr>
          <w:caps w:val="false"/>
          <w:smallCaps w:val="false"/>
        </w:rPr>
        <w:t>•</w:t>
      </w:r>
      <w:r>
        <w:rPr/>
        <w:t>“</w:t>
      </w:r>
      <w:r>
        <w:rPr>
          <w:rFonts w:ascii="Times New Roman;Times;serif" w:hAnsi="Times New Roman;Times;serif"/>
          <w:sz w:val="20"/>
        </w:rPr>
        <w:t>Final Payment” refers to our payment of $18.4 million to certain Continuing Equity Owners in connection with the IPO to satisfy certain contractual obligations of such entities.</w:t>
      </w:r>
    </w:p>
    <w:p>
      <w:pPr>
        <w:pStyle w:val="TextBody"/>
        <w:bidi w:val="0"/>
        <w:spacing w:before="0" w:after="240"/>
        <w:ind w:left="0" w:right="0" w:hanging="0"/>
        <w:jc w:val="left"/>
        <w:rPr/>
      </w:pPr>
      <w:r>
        <w:rPr>
          <w:caps w:val="false"/>
          <w:smallCaps w:val="false"/>
        </w:rPr>
        <w:t>•</w:t>
      </w:r>
      <w:r>
        <w:rPr/>
        <w:t>“</w:t>
      </w:r>
      <w:r>
        <w:rPr>
          <w:rFonts w:ascii="Times New Roman;Times;serif" w:hAnsi="Times New Roman;Times;serif"/>
          <w:sz w:val="20"/>
        </w:rPr>
        <w:t>IPO” refers to the initial public offering by Yesway, Inc. that was closed on April, 23, 2026.</w:t>
      </w:r>
    </w:p>
    <w:p>
      <w:pPr>
        <w:pStyle w:val="TextBody"/>
        <w:bidi w:val="0"/>
        <w:spacing w:before="0" w:after="240"/>
        <w:ind w:left="0" w:right="0" w:hanging="0"/>
        <w:jc w:val="left"/>
        <w:rPr/>
      </w:pPr>
      <w:r>
        <w:rPr>
          <w:caps w:val="false"/>
          <w:smallCaps w:val="false"/>
        </w:rPr>
        <w:t>•</w:t>
      </w:r>
      <w:r>
        <w:rPr/>
        <w:t>“</w:t>
      </w:r>
      <w:r>
        <w:rPr>
          <w:rFonts w:ascii="Times New Roman;Times;serif" w:hAnsi="Times New Roman;Times;serif"/>
          <w:sz w:val="20"/>
        </w:rPr>
        <w:t>LLC Interests” refers to the common units of Ultimate Parent, including those that we purchased with a portion of the net proceeds from the IPO.</w:t>
      </w:r>
    </w:p>
    <w:p>
      <w:pPr>
        <w:pStyle w:val="TextBody"/>
        <w:bidi w:val="0"/>
        <w:spacing w:before="0" w:after="240"/>
        <w:ind w:left="0" w:right="0" w:hanging="0"/>
        <w:jc w:val="left"/>
        <w:rPr/>
      </w:pPr>
      <w:r>
        <w:rPr>
          <w:caps w:val="false"/>
          <w:smallCaps w:val="false"/>
        </w:rPr>
        <w:t>•</w:t>
      </w:r>
      <w:r>
        <w:rPr/>
        <w:t>“</w:t>
      </w:r>
      <w:r>
        <w:rPr>
          <w:rFonts w:ascii="Times New Roman;Times;serif" w:hAnsi="Times New Roman;Times;serif"/>
          <w:sz w:val="20"/>
        </w:rPr>
        <w:t>Ultimate Parent” refers to BW Ultimate Parent, LLC.</w:t>
      </w:r>
    </w:p>
    <w:p>
      <w:pPr>
        <w:pStyle w:val="TextBody"/>
        <w:bidi w:val="0"/>
        <w:spacing w:before="0" w:after="240"/>
        <w:ind w:left="0" w:right="0" w:hanging="0"/>
        <w:jc w:val="left"/>
        <w:rPr/>
      </w:pPr>
      <w:r>
        <w:rPr>
          <w:caps w:val="false"/>
          <w:smallCaps w:val="false"/>
        </w:rPr>
        <w:t>•</w:t>
      </w:r>
      <w:r>
        <w:rPr/>
        <w:t>“</w:t>
      </w:r>
      <w:r>
        <w:rPr>
          <w:rFonts w:ascii="Times New Roman;Times;serif" w:hAnsi="Times New Roman;Times;serif"/>
          <w:sz w:val="20"/>
        </w:rPr>
        <w:t>Redeemable Senior Preferred Membership Interests” refers to the 150,000 redeemable, non-convertible, non-exchangeable senior preferred membership interests in Ultimate Parent issued and sold by Ultimate Parent to certain purchasers in December 2022 at a price of $980.00 per interest for gross proceeds of $147.0 million, which were redeemed in full in connection with the closing of our IPO.</w:t>
      </w:r>
    </w:p>
    <w:p>
      <w:pPr>
        <w:pStyle w:val="TextBody"/>
        <w:bidi w:val="0"/>
        <w:spacing w:before="0" w:after="0"/>
        <w:ind w:left="0" w:right="0" w:hanging="0"/>
        <w:jc w:val="left"/>
        <w:rPr/>
      </w:pPr>
      <w:r>
        <w:rPr>
          <w:caps w:val="false"/>
          <w:smallCaps w:val="false"/>
        </w:rPr>
        <w:t>•</w:t>
      </w:r>
      <w:r>
        <w:rPr/>
        <w:t>“</w:t>
      </w:r>
      <w:r>
        <w:rPr>
          <w:rFonts w:ascii="Times New Roman;Times;serif" w:hAnsi="Times New Roman;Times;serif"/>
          <w:sz w:val="20"/>
        </w:rPr>
        <w:t>Transactions” refer to certain organizational transactions the Company underwent in connection with the IPO.</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1" w:name="_0d615055_0bb5_4376_a7db_8efe1c1557b8"/>
      <w:bookmarkEnd w:id="21"/>
      <w:r>
        <w:rPr>
          <w:rFonts w:ascii="Times New Roman;Times;serif" w:hAnsi="Times New Roman;Times;serif"/>
          <w:b/>
          <w:sz w:val="20"/>
        </w:rPr>
        <w:t>EXPLANATORY NOTE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Quarterly Report presents the historical condensed consolidated financial information and data as of June 30, 2026, and December 31, 2025, and for the three months ended June 30, 2026, and June 30, 2025, of Yesway,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Yesway, Inc. was incorporated in Delaware on April 23, 2021, to be the issuer for our IPO. All of our business operations are currently, and have historically been, conducted through Ultimate Parent and its subsidiaries.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the Transactions, which occurred in connection with the IPO, Yesway, Inc. consolidates Ultimate Parent. Accordingly, in this Quarterly Report and future periodic reports, we will present the historical condensed consolidated financial information and data of Yesway, Inc., which will include the financial information and data of Ultimate Parent.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 w:name="_e24bf9b0_7c4c_4ef6_8de7_8210d0b2afeb"/>
      <w:bookmarkEnd w:id="22"/>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b/>
          <w:sz w:val="20"/>
        </w:rPr>
      </w:pPr>
      <w:bookmarkStart w:id="23" w:name="CondensedConsolidatedBalanceSheetsUnaudi"/>
      <w:bookmarkEnd w:id="23"/>
      <w:r>
        <w:rPr>
          <w:rFonts w:ascii="Times New Roman;Times;serif" w:hAnsi="Times New Roman;Times;serif"/>
          <w:b/>
          <w:sz w:val="20"/>
        </w:rPr>
        <w:t>Condensed Consolidated Balance Sheets (Unaudited)</w:t>
      </w:r>
    </w:p>
    <w:p>
      <w:pPr>
        <w:pStyle w:val="TextBody"/>
        <w:pBdr>
          <w:bottom w:val="single" w:sz="2" w:space="2"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w:t>
      </w:r>
    </w:p>
    <w:p>
      <w:pPr>
        <w:pStyle w:val="Normal"/>
        <w:bidi w:val="0"/>
        <w:spacing w:before="0" w:after="0"/>
        <w:jc w:val="left"/>
        <w:rPr>
          <w:sz w:val="4"/>
          <w:szCs w:val="4"/>
        </w:rPr>
      </w:pPr>
      <w:r>
        <w:rPr>
          <w:sz w:val="4"/>
          <w:szCs w:val="4"/>
        </w:rPr>
      </w:r>
      <w:bookmarkStart w:id="24" w:name="Tc_JPSNf55Bf0aBDNkSqIV6aw_19_5"/>
      <w:bookmarkStart w:id="25" w:name="Tc_kjNVSZnZkEmxvfC9qpx7Fw_19_2"/>
      <w:bookmarkStart w:id="26" w:name="Tc_LK5imMHUsUaODNMCMRGJAg_19_0"/>
      <w:bookmarkStart w:id="27" w:name="Tc_c_PZ3a3a-kuK-LzJk0Oe_w_18_0"/>
      <w:bookmarkStart w:id="28" w:name="Tc_BL8d-8mllk-7HMGfNPG_vQ_17_0"/>
      <w:bookmarkStart w:id="29" w:name="Tc_5yuFetLehk2MO0hkM7marA_16_0"/>
      <w:bookmarkStart w:id="30" w:name="Tc_f3vflt5zmkazcBSlzSJEBQ_15_0"/>
      <w:bookmarkStart w:id="31" w:name="Tc_kdCYnxn-m0yxWeYJ_k46Zg_14_0"/>
      <w:bookmarkStart w:id="32" w:name="Tc_Qf3xe6n_5kGxFMliF9aLSA_13_0"/>
      <w:bookmarkStart w:id="33" w:name="Tc_y00Kbq0HV0yusOFjrxQLgw_12_0"/>
      <w:bookmarkStart w:id="34" w:name="Tc_IzuKvvWn-kSa54gcLSm8uA_11_0"/>
      <w:bookmarkStart w:id="35" w:name="Tc_3siakfg4XEK2bqwXNak4yg_9_0"/>
      <w:bookmarkStart w:id="36" w:name="Tc_fMi9JhyRkEOouWWfzm9GKw_8_0"/>
      <w:bookmarkStart w:id="37" w:name="Tc_ReRHST8W3k2HjXMtDFhXzw_7_0"/>
      <w:bookmarkStart w:id="38" w:name="Tc_0ttNKVFB-Ei0OZS5NmxgoA_6_0"/>
      <w:bookmarkStart w:id="39" w:name="Tc_G4pyCC5WjUqQdbCjMVg4FA_5_0"/>
      <w:bookmarkStart w:id="40" w:name="Tc_rwY8mSQVZkWZKpMBQu59Cw_4_5"/>
      <w:bookmarkStart w:id="41" w:name="Tc_5aTLO-my7keuN2UBzLoeAA_4_2"/>
      <w:bookmarkStart w:id="42" w:name="Tc_H9xc1_w1CE-Sr1D1XY9yvw_4_0"/>
      <w:bookmarkStart w:id="43" w:name="Tc_aj4dP1Ocm02fk4_5j-pC_Q_3_0"/>
      <w:bookmarkStart w:id="44" w:name="Tc_7kibb2_MsUmdaknHKoXRTg_2_0"/>
      <w:bookmarkStart w:id="45" w:name="Tc_aNUyx4-SikqhOaqDdtsfOg_1_5"/>
      <w:bookmarkStart w:id="46" w:name="Tc_Nu9gfYi0BEO-RFmD8bwdog_1_2"/>
      <w:bookmarkStart w:id="47" w:name="_15f31040_b2d3_496a_ac66_9ea3d1ad620d"/>
      <w:bookmarkStart w:id="48" w:name="Tc_JPSNf55Bf0aBDNkSqIV6aw_19_5"/>
      <w:bookmarkStart w:id="49" w:name="Tc_kjNVSZnZkEmxvfC9qpx7Fw_19_2"/>
      <w:bookmarkStart w:id="50" w:name="Tc_LK5imMHUsUaODNMCMRGJAg_19_0"/>
      <w:bookmarkStart w:id="51" w:name="Tc_c_PZ3a3a-kuK-LzJk0Oe_w_18_0"/>
      <w:bookmarkStart w:id="52" w:name="Tc_BL8d-8mllk-7HMGfNPG_vQ_17_0"/>
      <w:bookmarkStart w:id="53" w:name="Tc_5yuFetLehk2MO0hkM7marA_16_0"/>
      <w:bookmarkStart w:id="54" w:name="Tc_f3vflt5zmkazcBSlzSJEBQ_15_0"/>
      <w:bookmarkStart w:id="55" w:name="Tc_kdCYnxn-m0yxWeYJ_k46Zg_14_0"/>
      <w:bookmarkStart w:id="56" w:name="Tc_Qf3xe6n_5kGxFMliF9aLSA_13_0"/>
      <w:bookmarkStart w:id="57" w:name="Tc_y00Kbq0HV0yusOFjrxQLgw_12_0"/>
      <w:bookmarkStart w:id="58" w:name="Tc_IzuKvvWn-kSa54gcLSm8uA_11_0"/>
      <w:bookmarkStart w:id="59" w:name="Tc_3siakfg4XEK2bqwXNak4yg_9_0"/>
      <w:bookmarkStart w:id="60" w:name="Tc_fMi9JhyRkEOouWWfzm9GKw_8_0"/>
      <w:bookmarkStart w:id="61" w:name="Tc_ReRHST8W3k2HjXMtDFhXzw_7_0"/>
      <w:bookmarkStart w:id="62" w:name="Tc_0ttNKVFB-Ei0OZS5NmxgoA_6_0"/>
      <w:bookmarkStart w:id="63" w:name="Tc_G4pyCC5WjUqQdbCjMVg4FA_5_0"/>
      <w:bookmarkStart w:id="64" w:name="Tc_rwY8mSQVZkWZKpMBQu59Cw_4_5"/>
      <w:bookmarkStart w:id="65" w:name="Tc_5aTLO-my7keuN2UBzLoeAA_4_2"/>
      <w:bookmarkStart w:id="66" w:name="Tc_H9xc1_w1CE-Sr1D1XY9yvw_4_0"/>
      <w:bookmarkStart w:id="67" w:name="Tc_aj4dP1Ocm02fk4_5j-pC_Q_3_0"/>
      <w:bookmarkStart w:id="68" w:name="Tc_7kibb2_MsUmdaknHKoXRTg_2_0"/>
      <w:bookmarkStart w:id="69" w:name="Tc_aNUyx4-SikqhOaqDdtsfOg_1_5"/>
      <w:bookmarkStart w:id="70" w:name="Tc_Nu9gfYi0BEO-RFmD8bwdog_1_2"/>
      <w:bookmarkStart w:id="71" w:name="_15f31040_b2d3_496a_ac66_9ea3d1ad620d"/>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tbl>
      <w:tblPr>
        <w:tblW w:w="10205" w:type="dxa"/>
        <w:jc w:val="left"/>
        <w:tblInd w:w="0" w:type="dxa"/>
        <w:tblLayout w:type="fixed"/>
        <w:tblCellMar>
          <w:top w:w="0" w:type="dxa"/>
          <w:left w:w="0" w:type="dxa"/>
          <w:bottom w:w="0" w:type="dxa"/>
          <w:right w:w="0" w:type="dxa"/>
        </w:tblCellMar>
      </w:tblPr>
      <w:tblGrid>
        <w:gridCol w:w="6855"/>
        <w:gridCol w:w="346"/>
        <w:gridCol w:w="196"/>
        <w:gridCol w:w="931"/>
        <w:gridCol w:w="346"/>
        <w:gridCol w:w="256"/>
        <w:gridCol w:w="1275"/>
      </w:tblGrid>
      <w:tr>
        <w:trPr/>
        <w:tc>
          <w:tcPr>
            <w:tcW w:w="68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24460" cy="175260"/>
                      <wp:effectExtent l="0" t="0" r="0" b="0"/>
                      <wp:wrapNone/>
                      <wp:docPr id="2" name="Frame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91185" cy="175260"/>
                      <wp:effectExtent l="0" t="0" r="0" b="0"/>
                      <wp:wrapNone/>
                      <wp:docPr id="3" name="Frame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62560" cy="175260"/>
                      <wp:effectExtent l="0" t="0" r="0" b="0"/>
                      <wp:wrapNone/>
                      <wp:docPr id="5" name="Frame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809625" cy="175260"/>
                      <wp:effectExtent l="0" t="0" r="0" b="0"/>
                      <wp:wrapNone/>
                      <wp:docPr id="6" name="Frame6"/>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2025</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pPr>
            <w:r>
              <w:rPr/>
              <w:t>  ​</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56"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pPr>
            <w:r>
              <w:rPr/>
              <w:t>  ​</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81,608</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36,592</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$138 and $147 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35,465</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24,538</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89,380</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83,171</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4,821</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6,158</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21,630</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13,235</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232,904</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163,694</w:t>
            </w:r>
          </w:p>
        </w:tc>
      </w:tr>
      <w:tr>
        <w:trPr/>
        <w:tc>
          <w:tcPr>
            <w:tcW w:w="68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pPr>
            <w:r>
              <w:rPr/>
              <w:t>​</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868,189</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868,559</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280,956</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280,946</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277,996</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277,996</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342,457</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332,655</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right-of-use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1,874</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16,715</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16,501</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35,439</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pPr>
            <w:r>
              <w:rPr/>
              <w:t>—</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9,933</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6,892</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2,066,463</w:t>
            </w:r>
          </w:p>
        </w:tc>
        <w:tc>
          <w:tcPr>
            <w:tcW w:w="34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1,949,174</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Continued (Unaudited)</w:t>
      </w:r>
    </w:p>
    <w:p>
      <w:pPr>
        <w:pStyle w:val="TextBody"/>
        <w:pBdr>
          <w:bottom w:val="single" w:sz="2" w:space="2"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w:t>
      </w:r>
    </w:p>
    <w:p>
      <w:pPr>
        <w:pStyle w:val="Normal"/>
        <w:bidi w:val="0"/>
        <w:spacing w:before="0" w:after="0"/>
        <w:jc w:val="left"/>
        <w:rPr>
          <w:sz w:val="4"/>
          <w:szCs w:val="4"/>
        </w:rPr>
      </w:pPr>
      <w:r>
        <w:rPr>
          <w:sz w:val="4"/>
          <w:szCs w:val="4"/>
        </w:rPr>
      </w:r>
      <w:bookmarkStart w:id="72" w:name="Tc_Bsmod7CHv0qNF5lbZSu8Eg_36_5"/>
      <w:bookmarkStart w:id="73" w:name="Tc_T7q-OSI3MUmpNGY-wResSA_36_2"/>
      <w:bookmarkStart w:id="74" w:name="Tc_3TocshDgOUuof4KDDHU4CA_36_0"/>
      <w:bookmarkStart w:id="75" w:name="Tc_USGuG1n850yuku9KuiMmxg_35_0"/>
      <w:bookmarkStart w:id="76" w:name="Tc_XfJthfa3vEqr8fnyfXpAuw_34_0"/>
      <w:bookmarkStart w:id="77" w:name="Tc_4rqFbXW5SkSOg0utvKuy2g_33_0"/>
      <w:bookmarkStart w:id="78" w:name="Tc_X7n1gNpvMkCSVz6rtZioWQ_32_0"/>
      <w:bookmarkStart w:id="79" w:name="Tc_9tqd-GW0006m0TAyWblIYA_31_0"/>
      <w:bookmarkStart w:id="80" w:name="Tc_QYe8stgSCUeOfxdP-ssYfQ_30_0"/>
      <w:bookmarkStart w:id="81" w:name="Tc_TzZaCDppd0C8IWpmJijfyg_29_0"/>
      <w:bookmarkStart w:id="82" w:name="Tc_WjhTkLSuS0mBb0u4U8PWKA_28_0"/>
      <w:bookmarkStart w:id="83" w:name="Tc_CotmdaKm-EyZW73RPFWwKQ_27_0"/>
      <w:bookmarkStart w:id="84" w:name="Tc_zVlGLbtblk-V5wNWm1-tXw_25_0"/>
      <w:bookmarkStart w:id="85" w:name="Tc_m2kPd8L23UC1Iykrw4nREA_23_0"/>
      <w:bookmarkStart w:id="86" w:name="Tc_L5if3ZFJqU-0fNDe3sF1Nw_21_5"/>
      <w:bookmarkStart w:id="87" w:name="Tc_OlEFVCrkjk-IzsYFLqWgkw_21_2"/>
      <w:bookmarkStart w:id="88" w:name="Tc__jA-4HcyyEChGPbvD7rWVg_21_0"/>
      <w:bookmarkStart w:id="89" w:name="Tc_5Osx4u_zTkWcXzJiKXFwzQ_20_0"/>
      <w:bookmarkStart w:id="90" w:name="Tc_ouF79kKmAEGPk6b3BWs3ZA_19_0"/>
      <w:bookmarkStart w:id="91" w:name="Tc_CqraZUJ2Nk-cCe8q31HT3w_18_0"/>
      <w:bookmarkStart w:id="92" w:name="Tc_lb5kHo1nDUWwY4DMm_lf9g_17_0"/>
      <w:bookmarkStart w:id="93" w:name="Tc_-w-YXZuKs0emh2EQ7cx-CQ_16_0"/>
      <w:bookmarkStart w:id="94" w:name="Tc_RB5tpOlmp06-EpehdUnb5g_15_0"/>
      <w:bookmarkStart w:id="95" w:name="Tc__LCRCQeXgEe7xJ43bgNe1A_14_0"/>
      <w:bookmarkStart w:id="96" w:name="Tc_UbwotNxXi0m4HKawFKgsFA_13_0"/>
      <w:bookmarkStart w:id="97" w:name="Tc_w2_q6T5sREGoo9dLDaShQQ_11_5"/>
      <w:bookmarkStart w:id="98" w:name="Tc_cJ8nMwoyrkWNUPhGS84mhg_11_2"/>
      <w:bookmarkStart w:id="99" w:name="Tc_IvEg6_wzCUqevYZAvPxjUA_11_0"/>
      <w:bookmarkStart w:id="100" w:name="Tc_p-9eCj_mp0-_UyXZSWT3pA_10_0"/>
      <w:bookmarkStart w:id="101" w:name="Tc_VOeWi1c4E0Ovcy0TKLlDHQ_9_0"/>
      <w:bookmarkStart w:id="102" w:name="Tc_hyHHYwpX5U23oX5I3hZ5zA_8_0"/>
      <w:bookmarkStart w:id="103" w:name="Tc_fHCXK1Vg-0GjL_--Y3ayog_7_0"/>
      <w:bookmarkStart w:id="104" w:name="Tc_tJ-W1BJwIEOg-pBSgWmZWg_6_0"/>
      <w:bookmarkStart w:id="105" w:name="Tc_Y1_xg6FI9UGYaSxrUU-h4Q_5_0"/>
      <w:bookmarkStart w:id="106" w:name="Tc_aWJTSiXwIkqHWZ8DAzgoug_4_0"/>
      <w:bookmarkStart w:id="107" w:name="Tc_w0-7XWEAxkO_GpzHAWVUOg_3_0"/>
      <w:bookmarkStart w:id="108" w:name="Tc_hdsp3DmEck-RC1fQJSYA-g_2_0"/>
      <w:bookmarkStart w:id="109" w:name="Tc_PU_1JtHtVkaxNOS1wU4EVA_1_5"/>
      <w:bookmarkStart w:id="110" w:name="Tc_APbhsjBF0USm2QiIdXzfCQ_1_2"/>
      <w:bookmarkStart w:id="111" w:name="_95ba8fb6_1a6f_46ff_a6af_ae78a3363571"/>
      <w:bookmarkStart w:id="112" w:name="Tc_Bsmod7CHv0qNF5lbZSu8Eg_36_5"/>
      <w:bookmarkStart w:id="113" w:name="Tc_T7q-OSI3MUmpNGY-wResSA_36_2"/>
      <w:bookmarkStart w:id="114" w:name="Tc_3TocshDgOUuof4KDDHU4CA_36_0"/>
      <w:bookmarkStart w:id="115" w:name="Tc_USGuG1n850yuku9KuiMmxg_35_0"/>
      <w:bookmarkStart w:id="116" w:name="Tc_XfJthfa3vEqr8fnyfXpAuw_34_0"/>
      <w:bookmarkStart w:id="117" w:name="Tc_4rqFbXW5SkSOg0utvKuy2g_33_0"/>
      <w:bookmarkStart w:id="118" w:name="Tc_X7n1gNpvMkCSVz6rtZioWQ_32_0"/>
      <w:bookmarkStart w:id="119" w:name="Tc_9tqd-GW0006m0TAyWblIYA_31_0"/>
      <w:bookmarkStart w:id="120" w:name="Tc_QYe8stgSCUeOfxdP-ssYfQ_30_0"/>
      <w:bookmarkStart w:id="121" w:name="Tc_TzZaCDppd0C8IWpmJijfyg_29_0"/>
      <w:bookmarkStart w:id="122" w:name="Tc_WjhTkLSuS0mBb0u4U8PWKA_28_0"/>
      <w:bookmarkStart w:id="123" w:name="Tc_CotmdaKm-EyZW73RPFWwKQ_27_0"/>
      <w:bookmarkStart w:id="124" w:name="Tc_zVlGLbtblk-V5wNWm1-tXw_25_0"/>
      <w:bookmarkStart w:id="125" w:name="Tc_m2kPd8L23UC1Iykrw4nREA_23_0"/>
      <w:bookmarkStart w:id="126" w:name="Tc_L5if3ZFJqU-0fNDe3sF1Nw_21_5"/>
      <w:bookmarkStart w:id="127" w:name="Tc_OlEFVCrkjk-IzsYFLqWgkw_21_2"/>
      <w:bookmarkStart w:id="128" w:name="Tc__jA-4HcyyEChGPbvD7rWVg_21_0"/>
      <w:bookmarkStart w:id="129" w:name="Tc_5Osx4u_zTkWcXzJiKXFwzQ_20_0"/>
      <w:bookmarkStart w:id="130" w:name="Tc_ouF79kKmAEGPk6b3BWs3ZA_19_0"/>
      <w:bookmarkStart w:id="131" w:name="Tc_CqraZUJ2Nk-cCe8q31HT3w_18_0"/>
      <w:bookmarkStart w:id="132" w:name="Tc_lb5kHo1nDUWwY4DMm_lf9g_17_0"/>
      <w:bookmarkStart w:id="133" w:name="Tc_-w-YXZuKs0emh2EQ7cx-CQ_16_0"/>
      <w:bookmarkStart w:id="134" w:name="Tc_RB5tpOlmp06-EpehdUnb5g_15_0"/>
      <w:bookmarkStart w:id="135" w:name="Tc__LCRCQeXgEe7xJ43bgNe1A_14_0"/>
      <w:bookmarkStart w:id="136" w:name="Tc_UbwotNxXi0m4HKawFKgsFA_13_0"/>
      <w:bookmarkStart w:id="137" w:name="Tc_w2_q6T5sREGoo9dLDaShQQ_11_5"/>
      <w:bookmarkStart w:id="138" w:name="Tc_cJ8nMwoyrkWNUPhGS84mhg_11_2"/>
      <w:bookmarkStart w:id="139" w:name="Tc_IvEg6_wzCUqevYZAvPxjUA_11_0"/>
      <w:bookmarkStart w:id="140" w:name="Tc_p-9eCj_mp0-_UyXZSWT3pA_10_0"/>
      <w:bookmarkStart w:id="141" w:name="Tc_VOeWi1c4E0Ovcy0TKLlDHQ_9_0"/>
      <w:bookmarkStart w:id="142" w:name="Tc_hyHHYwpX5U23oX5I3hZ5zA_8_0"/>
      <w:bookmarkStart w:id="143" w:name="Tc_fHCXK1Vg-0GjL_--Y3ayog_7_0"/>
      <w:bookmarkStart w:id="144" w:name="Tc_tJ-W1BJwIEOg-pBSgWmZWg_6_0"/>
      <w:bookmarkStart w:id="145" w:name="Tc_Y1_xg6FI9UGYaSxrUU-h4Q_5_0"/>
      <w:bookmarkStart w:id="146" w:name="Tc_aWJTSiXwIkqHWZ8DAzgoug_4_0"/>
      <w:bookmarkStart w:id="147" w:name="Tc_w0-7XWEAxkO_GpzHAWVUOg_3_0"/>
      <w:bookmarkStart w:id="148" w:name="Tc_hdsp3DmEck-RC1fQJSYA-g_2_0"/>
      <w:bookmarkStart w:id="149" w:name="Tc_PU_1JtHtVkaxNOS1wU4EVA_1_5"/>
      <w:bookmarkStart w:id="150" w:name="Tc_APbhsjBF0USm2QiIdXzfCQ_1_2"/>
      <w:bookmarkStart w:id="151" w:name="_95ba8fb6_1a6f_46ff_a6af_ae78a336357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tbl>
      <w:tblPr>
        <w:tblW w:w="10205" w:type="dxa"/>
        <w:jc w:val="left"/>
        <w:tblInd w:w="0" w:type="dxa"/>
        <w:tblLayout w:type="fixed"/>
        <w:tblCellMar>
          <w:top w:w="0" w:type="dxa"/>
          <w:left w:w="0" w:type="dxa"/>
          <w:bottom w:w="0" w:type="dxa"/>
          <w:right w:w="0" w:type="dxa"/>
        </w:tblCellMar>
      </w:tblPr>
      <w:tblGrid>
        <w:gridCol w:w="6855"/>
        <w:gridCol w:w="346"/>
        <w:gridCol w:w="196"/>
        <w:gridCol w:w="931"/>
        <w:gridCol w:w="346"/>
        <w:gridCol w:w="256"/>
        <w:gridCol w:w="1275"/>
      </w:tblGrid>
      <w:tr>
        <w:trPr/>
        <w:tc>
          <w:tcPr>
            <w:tcW w:w="68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91185" cy="175260"/>
                      <wp:effectExtent l="0" t="0" r="0" b="0"/>
                      <wp:wrapNone/>
                      <wp:docPr id="9" name="Frame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62560" cy="175260"/>
                      <wp:effectExtent l="0" t="0" r="0" b="0"/>
                      <wp:wrapNone/>
                      <wp:docPr id="11" name="Frame1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809625" cy="175260"/>
                      <wp:effectExtent l="0" t="0" r="0" b="0"/>
                      <wp:wrapNone/>
                      <wp:docPr id="12" name="Frame12"/>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2025</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redeemable senior preferred membership interests, and stockholders'/members’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1275" w:type="dxa"/>
            <w:tcBorders/>
            <w:shd w:fill="CCEEFF" w:val="clear"/>
            <w:vAlign w:val="center"/>
          </w:tcPr>
          <w:p>
            <w:pPr>
              <w:pStyle w:val="TableContents"/>
              <w:bidi w:val="0"/>
              <w:spacing w:before="0" w:after="1"/>
              <w:ind w:left="0" w:right="0" w:hanging="0"/>
              <w:jc w:val="right"/>
              <w:rPr/>
            </w:pPr>
            <w:r>
              <w:rPr/>
              <w:t>  ​</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pPr>
            <w:r>
              <w:rPr/>
              <w:t>  ​</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maturities of debt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4,100</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4,100</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maturities of financing obligations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2,097</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2,034</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maturities of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5,745</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5,417</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maturities of finance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to 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97,845</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72,964</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47,000</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49,072</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156,927</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133,701</w:t>
            </w:r>
          </w:p>
        </w:tc>
      </w:tr>
      <w:tr>
        <w:trPr/>
        <w:tc>
          <w:tcPr>
            <w:tcW w:w="68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pPr>
            <w:r>
              <w:rPr/>
              <w:t>​</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net of current maturities, debt discount, and debt issuance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388,173</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428,211</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obligations, net of current maturities, debt discount, and 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221,819</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222,851</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maturities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328,173</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316,451</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liabilities, net of current maturities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2,144</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2,180</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10,457</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10,096</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held for sale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1,422</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receivable agreement liability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92,263</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pPr>
            <w:r>
              <w:rPr/>
              <w:t>—</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10,370</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11,465</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1,211,748</w:t>
            </w:r>
          </w:p>
        </w:tc>
        <w:tc>
          <w:tcPr>
            <w:tcW w:w="34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1,126,377</w:t>
            </w:r>
          </w:p>
        </w:tc>
      </w:tr>
      <w:tr>
        <w:trPr/>
        <w:tc>
          <w:tcPr>
            <w:tcW w:w="68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pPr>
            <w:r>
              <w:rPr/>
              <w:t>​</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Commitments and contingencies (Note 16)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pPr>
            <w:r>
              <w:rPr/>
              <w:t>  ​</w:t>
            </w:r>
          </w:p>
        </w:tc>
      </w:tr>
      <w:tr>
        <w:trPr/>
        <w:tc>
          <w:tcPr>
            <w:tcW w:w="68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pPr>
            <w:r>
              <w:rPr/>
              <w:t>​</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Redeemable senior preferred membership interests (0 and 150,000 shares authorized and outstanding, redemption value of $0 and $239,628 and liquidation preference amount of $0 and $239,628 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239,628</w:t>
            </w:r>
          </w:p>
        </w:tc>
      </w:tr>
      <w:tr>
        <w:trPr/>
        <w:tc>
          <w:tcPr>
            <w:tcW w:w="68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pPr>
            <w:r>
              <w:rPr/>
              <w:t>​</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Stockholders'/members'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275" w:type="dxa"/>
            <w:tcBorders/>
            <w:vAlign w:val="center"/>
          </w:tcPr>
          <w:p>
            <w:pPr>
              <w:pStyle w:val="TableContents"/>
              <w:bidi w:val="0"/>
              <w:spacing w:before="0" w:after="1"/>
              <w:ind w:left="0" w:right="0" w:hanging="0"/>
              <w:jc w:val="right"/>
              <w:rPr/>
            </w:pPr>
            <w:r>
              <w:rPr/>
              <w:t>  ​</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Members'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582,070</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common stock, $0.0001 par value, 500,000,000 shares authorized, 31,185,561 issued and outstanding</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pPr>
            <w:r>
              <w:rPr/>
              <w:t>—</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B common stock, $0.0001 par value, 150,000,000 shares authorized, 32,009,185 issued and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pPr>
            <w:r>
              <w:rPr/>
              <w:t>—</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387,226</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pPr>
            <w:r>
              <w:rPr/>
              <w:t>—</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6,574</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stockholders' equity attributable to Yesway, Inc./members'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393,806</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582,070</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460,909</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1,099</w:t>
            </w:r>
          </w:p>
        </w:tc>
      </w:tr>
      <w:tr>
        <w:trPr/>
        <w:tc>
          <w:tcPr>
            <w:tcW w:w="685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stockholders'/members’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854,715</w:t>
            </w:r>
          </w:p>
        </w:tc>
        <w:tc>
          <w:tcPr>
            <w:tcW w:w="34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583,169</w:t>
            </w:r>
          </w:p>
        </w:tc>
      </w:tr>
      <w:tr>
        <w:trPr/>
        <w:tc>
          <w:tcPr>
            <w:tcW w:w="685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senior preferred membership interests, stockholders' equity/members’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2,066,463</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1,949,174</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the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2" w:name="_4c0abec5_08b0_45d6_8d50_40ac9110cca7"/>
      <w:bookmarkEnd w:id="152"/>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b/>
          <w:sz w:val="20"/>
        </w:rPr>
      </w:pPr>
      <w:bookmarkStart w:id="153" w:name="CondensedConsolidatedStatementsofIncomeU"/>
      <w:bookmarkEnd w:id="153"/>
      <w:r>
        <w:rPr>
          <w:rFonts w:ascii="Times New Roman;Times;serif" w:hAnsi="Times New Roman;Times;serif"/>
          <w:b/>
          <w:sz w:val="20"/>
        </w:rPr>
        <w:t>Condensed Consolidated Statements of Income (Unaudited)</w:t>
      </w:r>
    </w:p>
    <w:p>
      <w:pPr>
        <w:pStyle w:val="TextBody"/>
        <w:pBdr>
          <w:bottom w:val="single" w:sz="2" w:space="2"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amounts)</w:t>
      </w:r>
    </w:p>
    <w:p>
      <w:pPr>
        <w:pStyle w:val="Normal"/>
        <w:bidi w:val="0"/>
        <w:spacing w:before="0" w:after="0"/>
        <w:jc w:val="left"/>
        <w:rPr>
          <w:sz w:val="4"/>
          <w:szCs w:val="4"/>
        </w:rPr>
      </w:pPr>
      <w:r>
        <w:rPr>
          <w:sz w:val="4"/>
          <w:szCs w:val="4"/>
        </w:rPr>
      </w:r>
      <w:bookmarkStart w:id="154" w:name="Tc_mxvHlyhfs0uU82Q50Q96Uw_34_0"/>
      <w:bookmarkStart w:id="155" w:name="Tc_yvMoEdoH-U-WxpavGMVJoA_33_0"/>
      <w:bookmarkStart w:id="156" w:name="Tc_ANJ1T0v2N06wPdSJBBSh3w_32_0"/>
      <w:bookmarkStart w:id="157" w:name="Tc_SdFilm0CyUeEmGNDiG3hhQ_30_2"/>
      <w:bookmarkStart w:id="158" w:name="Tc_EZpeMbb78UiT0fK0d6l-3A_30_0"/>
      <w:bookmarkStart w:id="159" w:name="Tc_Ff0BdJFfyUaMAK75uAWDHg_29_2"/>
      <w:bookmarkStart w:id="160" w:name="Tc_L39o7GsR6UexbOeAJtjtQA_29_0"/>
      <w:bookmarkStart w:id="161" w:name="Tc_iaxNsFIu_0ujxeZspeoZyA_28_0"/>
      <w:bookmarkStart w:id="162" w:name="Tc_WN62nkjhLEyuFkboDBkwgw_27_0"/>
      <w:bookmarkStart w:id="163" w:name="Tc_jZL9dAiHJUOlkmaK9LCe3Q_25_11"/>
      <w:bookmarkStart w:id="164" w:name="Tc_zktWhzZy-0GQujEQYdlXow_25_8"/>
      <w:bookmarkStart w:id="165" w:name="Tc_OqdJWtZkQ0GuU-HV6Jc20w_25_5"/>
      <w:bookmarkStart w:id="166" w:name="Tc_LbRc2ZGyoUa4Q3CUC2OWjw_25_2"/>
      <w:bookmarkStart w:id="167" w:name="Tc_SqG4sdNLO0W114XkWTMHBg_25_0"/>
      <w:bookmarkStart w:id="168" w:name="Tc_kwdxwJqLwEykelGYZ88x7Q_23_11"/>
      <w:bookmarkStart w:id="169" w:name="Tc_9hbIiEfZDUCTj0cQgrGYRA_23_8"/>
      <w:bookmarkStart w:id="170" w:name="Tc__HinGgQcVUiN0Pf5EzkRlQ_23_5"/>
      <w:bookmarkStart w:id="171" w:name="Tc_rxj1flxqLU2F6PiSVke7jA_23_2"/>
      <w:bookmarkStart w:id="172" w:name="Tc_UBRzUdRPjU6yxaDcrgyjEQ_23_0"/>
      <w:bookmarkStart w:id="173" w:name="Tc_Tm3uxwwdskm8TdCLONkuLQ_22_0"/>
      <w:bookmarkStart w:id="174" w:name="Tc_Sc7glK21Q0OhI14cxKgCrw_20_0"/>
      <w:bookmarkStart w:id="175" w:name="Tc_Phb-eMytzE2740bp_JgAVQ_19_0"/>
      <w:bookmarkStart w:id="176" w:name="Tc_HZBCDcrsa0651wHHhko8lQ_18_0"/>
      <w:bookmarkStart w:id="177" w:name="Tc_bsv_WG5VCUONLw1aWESr3g_17_0"/>
      <w:bookmarkStart w:id="178" w:name="Tc_bJHN_U4t4UaZclDtUHJnBg_16_0"/>
      <w:bookmarkStart w:id="179" w:name="Tc_aKQjhICIT0ioT3LXXWcJbQ_15_0"/>
      <w:bookmarkStart w:id="180" w:name="Tc_F2vdyGYcRkOw5iVP9kLx7A_14_0"/>
      <w:bookmarkStart w:id="181" w:name="Tc_hR6RM6UChEOURdDE7yG1nw_13_0"/>
      <w:bookmarkStart w:id="182" w:name="Tc__Z5LtGsSRkKiaESka0V98Q_12_0"/>
      <w:bookmarkStart w:id="183" w:name="Tc_wFRG5c2vzEi_VeOzDi769A_11_0"/>
      <w:bookmarkStart w:id="184" w:name="Tc_2PuLTC6rF0CoBQJAtYJqLw_10_0"/>
      <w:bookmarkStart w:id="185" w:name="Tc_bK4u-hZRJUOKIWssOsZskg_9_0"/>
      <w:bookmarkStart w:id="186" w:name="Tc_Wvbv-k_dnEeqpoL4NmHujQ_8_0"/>
      <w:bookmarkStart w:id="187" w:name="Tc_OWUr5QPMx0iG6mBn05k4Xg_7_0"/>
      <w:bookmarkStart w:id="188" w:name="Tc_1cqpEMW6dEeFmrMp62YFbA_6_0"/>
      <w:bookmarkStart w:id="189" w:name="Tc_cnDd1HoOckOjmPgZYZ2SUg_4_11"/>
      <w:bookmarkStart w:id="190" w:name="Tc_Agzx1tOeEU-HVCnx8ita1A_4_8"/>
      <w:bookmarkStart w:id="191" w:name="Tc_0JUFa_KqN0ODtPQeIkZTwg_4_5"/>
      <w:bookmarkStart w:id="192" w:name="Tc_eeN-n3N-_kGLQQW5E341Zg_4_2"/>
      <w:bookmarkStart w:id="193" w:name="Tc_NrgruDFDLUeziaMTE-sbgg_4_0"/>
      <w:bookmarkStart w:id="194" w:name="Tc_B6G-gCcefESzisnmQxKwNw_3_11"/>
      <w:bookmarkStart w:id="195" w:name="Tc_esq0Xfp41U2kMwtxlCBd3w_3_8"/>
      <w:bookmarkStart w:id="196" w:name="Tc_ldiqUGdjgEOKHafUtpZ-iw_3_5"/>
      <w:bookmarkStart w:id="197" w:name="Tc_NBkCtB09Ckah93uJXRXU2A_3_2"/>
      <w:bookmarkStart w:id="198" w:name="Tc_otN0SFesJ0OKkg68_vlMxg_2_8"/>
      <w:bookmarkStart w:id="199" w:name="Tc_daNybVOREUWTZXzuzy7WCg_2_2"/>
      <w:bookmarkStart w:id="200" w:name="Tc_f1OsXorNCUemJUbvImcNJA_1_8"/>
      <w:bookmarkStart w:id="201" w:name="Tc_YJHxYyhTMUKzzPrRzPLyKw_1_2"/>
      <w:bookmarkStart w:id="202" w:name="_da7f1025_49ec_426b_8c2b_24f8a649daf4"/>
      <w:bookmarkStart w:id="203" w:name="Tc_mxvHlyhfs0uU82Q50Q96Uw_34_0"/>
      <w:bookmarkStart w:id="204" w:name="Tc_yvMoEdoH-U-WxpavGMVJoA_33_0"/>
      <w:bookmarkStart w:id="205" w:name="Tc_ANJ1T0v2N06wPdSJBBSh3w_32_0"/>
      <w:bookmarkStart w:id="206" w:name="Tc_SdFilm0CyUeEmGNDiG3hhQ_30_2"/>
      <w:bookmarkStart w:id="207" w:name="Tc_EZpeMbb78UiT0fK0d6l-3A_30_0"/>
      <w:bookmarkStart w:id="208" w:name="Tc_Ff0BdJFfyUaMAK75uAWDHg_29_2"/>
      <w:bookmarkStart w:id="209" w:name="Tc_L39o7GsR6UexbOeAJtjtQA_29_0"/>
      <w:bookmarkStart w:id="210" w:name="Tc_iaxNsFIu_0ujxeZspeoZyA_28_0"/>
      <w:bookmarkStart w:id="211" w:name="Tc_WN62nkjhLEyuFkboDBkwgw_27_0"/>
      <w:bookmarkStart w:id="212" w:name="Tc_jZL9dAiHJUOlkmaK9LCe3Q_25_11"/>
      <w:bookmarkStart w:id="213" w:name="Tc_zktWhzZy-0GQujEQYdlXow_25_8"/>
      <w:bookmarkStart w:id="214" w:name="Tc_OqdJWtZkQ0GuU-HV6Jc20w_25_5"/>
      <w:bookmarkStart w:id="215" w:name="Tc_LbRc2ZGyoUa4Q3CUC2OWjw_25_2"/>
      <w:bookmarkStart w:id="216" w:name="Tc_SqG4sdNLO0W114XkWTMHBg_25_0"/>
      <w:bookmarkStart w:id="217" w:name="Tc_kwdxwJqLwEykelGYZ88x7Q_23_11"/>
      <w:bookmarkStart w:id="218" w:name="Tc_9hbIiEfZDUCTj0cQgrGYRA_23_8"/>
      <w:bookmarkStart w:id="219" w:name="Tc__HinGgQcVUiN0Pf5EzkRlQ_23_5"/>
      <w:bookmarkStart w:id="220" w:name="Tc_rxj1flxqLU2F6PiSVke7jA_23_2"/>
      <w:bookmarkStart w:id="221" w:name="Tc_UBRzUdRPjU6yxaDcrgyjEQ_23_0"/>
      <w:bookmarkStart w:id="222" w:name="Tc_Tm3uxwwdskm8TdCLONkuLQ_22_0"/>
      <w:bookmarkStart w:id="223" w:name="Tc_Sc7glK21Q0OhI14cxKgCrw_20_0"/>
      <w:bookmarkStart w:id="224" w:name="Tc_Phb-eMytzE2740bp_JgAVQ_19_0"/>
      <w:bookmarkStart w:id="225" w:name="Tc_HZBCDcrsa0651wHHhko8lQ_18_0"/>
      <w:bookmarkStart w:id="226" w:name="Tc_bsv_WG5VCUONLw1aWESr3g_17_0"/>
      <w:bookmarkStart w:id="227" w:name="Tc_bJHN_U4t4UaZclDtUHJnBg_16_0"/>
      <w:bookmarkStart w:id="228" w:name="Tc_aKQjhICIT0ioT3LXXWcJbQ_15_0"/>
      <w:bookmarkStart w:id="229" w:name="Tc_F2vdyGYcRkOw5iVP9kLx7A_14_0"/>
      <w:bookmarkStart w:id="230" w:name="Tc_hR6RM6UChEOURdDE7yG1nw_13_0"/>
      <w:bookmarkStart w:id="231" w:name="Tc__Z5LtGsSRkKiaESka0V98Q_12_0"/>
      <w:bookmarkStart w:id="232" w:name="Tc_wFRG5c2vzEi_VeOzDi769A_11_0"/>
      <w:bookmarkStart w:id="233" w:name="Tc_2PuLTC6rF0CoBQJAtYJqLw_10_0"/>
      <w:bookmarkStart w:id="234" w:name="Tc_bK4u-hZRJUOKIWssOsZskg_9_0"/>
      <w:bookmarkStart w:id="235" w:name="Tc_Wvbv-k_dnEeqpoL4NmHujQ_8_0"/>
      <w:bookmarkStart w:id="236" w:name="Tc_OWUr5QPMx0iG6mBn05k4Xg_7_0"/>
      <w:bookmarkStart w:id="237" w:name="Tc_1cqpEMW6dEeFmrMp62YFbA_6_0"/>
      <w:bookmarkStart w:id="238" w:name="Tc_cnDd1HoOckOjmPgZYZ2SUg_4_11"/>
      <w:bookmarkStart w:id="239" w:name="Tc_Agzx1tOeEU-HVCnx8ita1A_4_8"/>
      <w:bookmarkStart w:id="240" w:name="Tc_0JUFa_KqN0ODtPQeIkZTwg_4_5"/>
      <w:bookmarkStart w:id="241" w:name="Tc_eeN-n3N-_kGLQQW5E341Zg_4_2"/>
      <w:bookmarkStart w:id="242" w:name="Tc_NrgruDFDLUeziaMTE-sbgg_4_0"/>
      <w:bookmarkStart w:id="243" w:name="Tc_B6G-gCcefESzisnmQxKwNw_3_11"/>
      <w:bookmarkStart w:id="244" w:name="Tc_esq0Xfp41U2kMwtxlCBd3w_3_8"/>
      <w:bookmarkStart w:id="245" w:name="Tc_ldiqUGdjgEOKHafUtpZ-iw_3_5"/>
      <w:bookmarkStart w:id="246" w:name="Tc_NBkCtB09Ckah93uJXRXU2A_3_2"/>
      <w:bookmarkStart w:id="247" w:name="Tc_otN0SFesJ0OKkg68_vlMxg_2_8"/>
      <w:bookmarkStart w:id="248" w:name="Tc_daNybVOREUWTZXzuzy7WCg_2_2"/>
      <w:bookmarkStart w:id="249" w:name="Tc_f1OsXorNCUemJUbvImcNJA_1_8"/>
      <w:bookmarkStart w:id="250" w:name="Tc_YJHxYyhTMUKzzPrRzPLyKw_1_2"/>
      <w:bookmarkStart w:id="251" w:name="_da7f1025_49ec_426b_8c2b_24f8a649daf4"/>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tbl>
      <w:tblPr>
        <w:tblW w:w="10205" w:type="dxa"/>
        <w:jc w:val="left"/>
        <w:tblInd w:w="0" w:type="dxa"/>
        <w:tblLayout w:type="fixed"/>
        <w:tblCellMar>
          <w:top w:w="0" w:type="dxa"/>
          <w:left w:w="0" w:type="dxa"/>
          <w:bottom w:w="0" w:type="dxa"/>
          <w:right w:w="0" w:type="dxa"/>
        </w:tblCellMar>
      </w:tblPr>
      <w:tblGrid>
        <w:gridCol w:w="4490"/>
        <w:gridCol w:w="109"/>
        <w:gridCol w:w="211"/>
        <w:gridCol w:w="1036"/>
        <w:gridCol w:w="346"/>
        <w:gridCol w:w="211"/>
        <w:gridCol w:w="781"/>
        <w:gridCol w:w="346"/>
        <w:gridCol w:w="211"/>
        <w:gridCol w:w="931"/>
        <w:gridCol w:w="346"/>
        <w:gridCol w:w="211"/>
        <w:gridCol w:w="976"/>
      </w:tblGrid>
      <w:tr>
        <w:trPr/>
        <w:tc>
          <w:tcPr>
            <w:tcW w:w="44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4" name="Frame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95935" cy="175260"/>
                      <wp:effectExtent l="0" t="0" r="0" b="0"/>
                      <wp:wrapNone/>
                      <wp:docPr id="17" name="Frame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91185" cy="175260"/>
                      <wp:effectExtent l="0" t="0" r="0" b="0"/>
                      <wp:wrapNone/>
                      <wp:docPr id="20" name="Frame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19760" cy="175260"/>
                      <wp:effectExtent l="0" t="0" r="0" b="0"/>
                      <wp:wrapNone/>
                      <wp:docPr id="23" name="Frame2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6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4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6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4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20"/>
              </w:rPr>
              <w:t>Revenues</w:t>
            </w:r>
            <w:r>
              <w:rPr>
                <w:rFonts w:ascii="Times New Roman;Times;serif" w:hAnsi="Times New Roman;Times;serif"/>
                <w:sz w:val="16"/>
              </w:rPr>
              <w:t xml:space="preserve"> </w:t>
            </w:r>
            <w:r>
              <w:rPr>
                <w:rFonts w:ascii="Times New Roman;Times;serif" w:hAnsi="Times New Roman;Times;serif"/>
                <w:b/>
                <w:sz w:val="18"/>
              </w:rPr>
              <w:t>(a)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920,774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677,673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1,604,404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1,277,991</w:t>
            </w:r>
          </w:p>
        </w:tc>
      </w:tr>
      <w:tr>
        <w:trPr/>
        <w:tc>
          <w:tcPr>
            <w:tcW w:w="44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4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(exclusive of depreciation and amortization, shown separately below) (a)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743,473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528,170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1,272,688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1,008,622</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employee benefits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55,617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105,329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99,128</w:t>
            </w:r>
          </w:p>
        </w:tc>
      </w:tr>
      <w:tr>
        <w:trPr/>
        <w:tc>
          <w:tcPr>
            <w:tcW w:w="4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56,812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103,169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94,294</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amortization, and accretion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32,609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31,207</w:t>
            </w:r>
          </w:p>
        </w:tc>
      </w:tr>
      <w:tr>
        <w:trPr/>
        <w:tc>
          <w:tcPr>
            <w:tcW w:w="4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873,030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640,942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1,514,216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1,231,060</w:t>
            </w:r>
          </w:p>
        </w:tc>
      </w:tr>
      <w:tr>
        <w:trPr/>
        <w:tc>
          <w:tcPr>
            <w:tcW w:w="44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47,744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90,188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46,931</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4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29,050</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44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expense,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28,250</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35,851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66,087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18,681</w:t>
            </w:r>
          </w:p>
        </w:tc>
      </w:tr>
      <w:tr>
        <w:trPr/>
        <w:tc>
          <w:tcPr>
            <w:tcW w:w="4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29,654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59,890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18,523</w:t>
            </w:r>
          </w:p>
        </w:tc>
      </w:tr>
      <w:tr>
        <w:trPr/>
        <w:tc>
          <w:tcPr>
            <w:tcW w:w="44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4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attributable to Yesway, Inc. and subsidiaries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46,527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18,523</w:t>
            </w:r>
          </w:p>
        </w:tc>
      </w:tr>
      <w:tr>
        <w:trPr/>
        <w:tc>
          <w:tcPr>
            <w:tcW w:w="44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49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 Includes excise taxes of approximately: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66,309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125,283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115,059</w:t>
            </w:r>
          </w:p>
        </w:tc>
      </w:tr>
      <w:tr>
        <w:trPr/>
        <w:tc>
          <w:tcPr>
            <w:tcW w:w="44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599"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Period from April 23, 2026, to June 30, 2026</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 of Class A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4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Weighted-average shares of Class A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31,063,822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31,236,787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the unaudited Condensed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2" w:name="_b3ba4ef6_f922_4601_b173_817566bf30a2"/>
      <w:bookmarkEnd w:id="252"/>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Redeemable Senior Preferred Membership Interests and Stockholders’/Members’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i/>
          <w:sz w:val="20"/>
        </w:rPr>
      </w:pPr>
      <w:bookmarkStart w:id="253" w:name="YeswayIncEquityCont"/>
      <w:bookmarkEnd w:id="253"/>
      <w:r>
        <w:rPr>
          <w:rFonts w:ascii="Times New Roman;Times;serif" w:hAnsi="Times New Roman;Times;serif"/>
          <w:b/>
          <w:i/>
          <w:sz w:val="20"/>
        </w:rPr>
        <w:t>(dollars 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4" w:name="Tc_JykYJXVtOUWjTAs1PKO-UA_26_30"/>
      <w:bookmarkStart w:id="255" w:name="Tc_zH0dql73lEaeNwO7qd8-kw_26_27"/>
      <w:bookmarkStart w:id="256" w:name="Tc_dJXSR9XP7kqXZrLM-W66VQ_26_24"/>
      <w:bookmarkStart w:id="257" w:name="Tc__co6Cvu8yUKhfRAVhZ8fsQ_26_21"/>
      <w:bookmarkStart w:id="258" w:name="Tc_gyVweC8LyESDk1fm3rik1g_26_18"/>
      <w:bookmarkStart w:id="259" w:name="Tc_mslnAdlu5EG4QWBvIA2cHA_26_13"/>
      <w:bookmarkStart w:id="260" w:name="Tc_0px9LyvQV0WE36jajEXyIw_26_9"/>
      <w:bookmarkStart w:id="261" w:name="Tc_gfaiS8qCjESzIQXSxcbL3g_26_8"/>
      <w:bookmarkStart w:id="262" w:name="Tc_H1kt7YtwQUWPWHY1qa1QlQ_26_5"/>
      <w:bookmarkStart w:id="263" w:name="Tc_TgtRf0nwmkmahT9-cqsPow_26_4"/>
      <w:bookmarkStart w:id="264" w:name="Tc_CIhtoPrV6U-HBPv4pudjYg_26_2"/>
      <w:bookmarkStart w:id="265" w:name="Tc_zNNH9vnoD0qTn3jB5ebrMg_26_0"/>
      <w:bookmarkStart w:id="266" w:name="Tc_pdan_5GfTUWSjL49rs7DRA_25_28"/>
      <w:bookmarkStart w:id="267" w:name="Tc_w7Cup853hkyGEFlIv7Aoig_25_25"/>
      <w:bookmarkStart w:id="268" w:name="Tc_AvDcj_9KIU-8ExfRV5WzeQ_25_19"/>
      <w:bookmarkStart w:id="269" w:name="Tc_B2MvjPBcQECdokKaQ8senw_25_16"/>
      <w:bookmarkStart w:id="270" w:name="Tc_O53CLX-BN0G_af81aN7fWA_25_14"/>
      <w:bookmarkStart w:id="271" w:name="Tc_jZQLeffqB0eiHHPdhZi_lw_25_11"/>
      <w:bookmarkStart w:id="272" w:name="Tc_ZuWNWtZwC0uBzgyb0G-TUA_25_9"/>
      <w:bookmarkStart w:id="273" w:name="Tc_L9zSiT-r4kaOTNoyTj6Ibg_25_5"/>
      <w:bookmarkStart w:id="274" w:name="Tc_h2pYqN8J8EeSbQ2W4wq7cw_25_2"/>
      <w:bookmarkStart w:id="275" w:name="Tc_uob7SsYEMkOQ1BcMWCUPQg_25_0"/>
      <w:bookmarkStart w:id="276" w:name="Tc_IxwpLXiQeEGt6Oofx4ibow_24_31"/>
      <w:bookmarkStart w:id="277" w:name="Tc_LEC5_XQ4XUenzkXWsl4Czg_24_25"/>
      <w:bookmarkStart w:id="278" w:name="Tc_YeKat2E5g0y_DPf8Co0Qmg_24_19"/>
      <w:bookmarkStart w:id="279" w:name="Tc_JPbHj_0Kw06_1z6a4Ghvuw_24_16"/>
      <w:bookmarkStart w:id="280" w:name="Tc_FieAswLdWEu3S5kN0NvOMg_24_14"/>
      <w:bookmarkStart w:id="281" w:name="Tc_rbUiN1vfBkOhBv6L3VzKpA_24_11"/>
      <w:bookmarkStart w:id="282" w:name="Tc_q2Zf_QfSk0GFC4lNe18IpA_24_9"/>
      <w:bookmarkStart w:id="283" w:name="Tc_O0DLBXfRBUuzCQ9IOXFy8g_24_5"/>
      <w:bookmarkStart w:id="284" w:name="Tc_A0CmCFe22EWXQrgaFWiYSA_24_2"/>
      <w:bookmarkStart w:id="285" w:name="Tc_UANfbrNUFEKaLG4kc7xv1A_24_0"/>
      <w:bookmarkStart w:id="286" w:name="Tc_FsOH_9iQTEiugpN1TmbAnQ_23_22"/>
      <w:bookmarkStart w:id="287" w:name="Tc_JLfPeJ_41UKZOCnlKR7wdw_23_19"/>
      <w:bookmarkStart w:id="288" w:name="Tc_YroP5nA8pk2ORxVc8FvABw_23_16"/>
      <w:bookmarkStart w:id="289" w:name="Tc_ye9qkS_Bkk6b7lcO2a95Iw_23_14"/>
      <w:bookmarkStart w:id="290" w:name="Tc_aH1JeuBRr0SxeXV5wGM_ZQ_23_11"/>
      <w:bookmarkStart w:id="291" w:name="Tc_-MGp5dE0x02SJ3W9-icjNg_23_9"/>
      <w:bookmarkStart w:id="292" w:name="Tc_7HZrMGDehEqEImFScw06YA_23_5"/>
      <w:bookmarkStart w:id="293" w:name="Tc_rCr3-R8pW0CSvsP2PANBTQ_23_2"/>
      <w:bookmarkStart w:id="294" w:name="Tc_4Vq_FGzIUki-br6EOhelJg_23_0"/>
      <w:bookmarkStart w:id="295" w:name="Tc_iChh1W8WaU--9SdJ4yj0mA_22_31"/>
      <w:bookmarkStart w:id="296" w:name="Tc_X2ZGrP8GE0693u-p3KvfWQ_22_28"/>
      <w:bookmarkStart w:id="297" w:name="Tc_-i35HBPj5k-trDN-3ugwGA_22_25"/>
      <w:bookmarkStart w:id="298" w:name="Tc_65fATu1FAE2lLIcWzJXbrw_22_22"/>
      <w:bookmarkStart w:id="299" w:name="Tc_Od-0aTPc0kOs2l2hocIZZg_22_19"/>
      <w:bookmarkStart w:id="300" w:name="Tc_1zbpYvZu0U2oB-kxdjJfkA_22_16"/>
      <w:bookmarkStart w:id="301" w:name="Tc_EvEDL3qSZEydoSmJjNFLDA_22_14"/>
      <w:bookmarkStart w:id="302" w:name="Tc_j6nU9YoDVEO7ZvxxsCEm5w_22_11"/>
      <w:bookmarkStart w:id="303" w:name="Tc_zIfesSJ2QEeJLGE0QS8H8Q_22_9"/>
      <w:bookmarkStart w:id="304" w:name="Tc_7HqdioSUSEinFXBKwCLJtA_22_0"/>
      <w:bookmarkStart w:id="305" w:name="Tc_0nlq0IoxwkG5ugHOOq6ZDA_21_0"/>
      <w:bookmarkStart w:id="306" w:name="Tc_l_tFt5mEckqXBkL5TShYXg_19_31"/>
      <w:bookmarkStart w:id="307" w:name="Tc_PzGoSoQTnkS4rTxuId7Csw_19_25"/>
      <w:bookmarkStart w:id="308" w:name="Tc_FvEHH7PRJEyLz2sjqEIVdg_19_19"/>
      <w:bookmarkStart w:id="309" w:name="Tc_S-RBfMcvWEuzP0TreeOLBQ_19_16"/>
      <w:bookmarkStart w:id="310" w:name="Tc_KFtyzWIKEUeCphAf8Y-zYA_19_14"/>
      <w:bookmarkStart w:id="311" w:name="Tc_KXBO-xUwEky4LbkgG0775Q_19_11"/>
      <w:bookmarkStart w:id="312" w:name="Tc_80Vq78Dh60CLc1FYhAxvlg_19_9"/>
      <w:bookmarkStart w:id="313" w:name="Tc_0JjTDnGrqU6x58jLXFZi0g_19_5"/>
      <w:bookmarkStart w:id="314" w:name="Tc_YSy7HF3Y4kW_gq0-lVIEBg_19_2"/>
      <w:bookmarkStart w:id="315" w:name="Tc_lSaPUI4ho06YTTO6a6fzbw_19_0"/>
      <w:bookmarkStart w:id="316" w:name="Tc_NcsxDkdd1Ey5cnWte1IbdA_18_28"/>
      <w:bookmarkStart w:id="317" w:name="Tc_XCh8wSU1CUq2CJibYxD5xQ_18_25"/>
      <w:bookmarkStart w:id="318" w:name="Tc_zXXw-L9WKEOY4TyNrcxeYQ_18_19"/>
      <w:bookmarkStart w:id="319" w:name="Tc_XxESFR_7AU2BoEK7UCyfuQ_18_16"/>
      <w:bookmarkStart w:id="320" w:name="Tc_rnx6fXOXZkmuAMbAE5EZpg_18_14"/>
      <w:bookmarkStart w:id="321" w:name="Tc_TQiEXn9Rn0S4StLyiaCEjw_18_11"/>
      <w:bookmarkStart w:id="322" w:name="Tc_y4RlkECtJUqiz9BbpVMNww_18_9"/>
      <w:bookmarkStart w:id="323" w:name="Tc_WXn3F8PS3UqS0F41DaLFjg_18_5"/>
      <w:bookmarkStart w:id="324" w:name="Tc_XyOeeETIxUeqrcS2MdM36A_18_2"/>
      <w:bookmarkStart w:id="325" w:name="Tc_Eh_H8Eos20ig0PAwRyElag_18_0"/>
      <w:bookmarkStart w:id="326" w:name="Tc_m1Zs-V0k2UmQCaBSheqAbQ_17_28"/>
      <w:bookmarkStart w:id="327" w:name="Tc_sMUKGb2iR0iBWVqY_-gJoA_17_25"/>
      <w:bookmarkStart w:id="328" w:name="Tc_o77Zf9h3Mk6DqkaQMG4D8Q_17_19"/>
      <w:bookmarkStart w:id="329" w:name="Tc_b1oT_6IEZkSqzUQTSn12MQ_17_16"/>
      <w:bookmarkStart w:id="330" w:name="Tc_XFQGQhFQR0G0ob97w_EFDg_17_14"/>
      <w:bookmarkStart w:id="331" w:name="Tc_dvEr-m7Md0mWUkVchf1I3g_17_11"/>
      <w:bookmarkStart w:id="332" w:name="Tc_V0RL-HN3UEKx_bBsddV0Cg_17_9"/>
      <w:bookmarkStart w:id="333" w:name="Tc_k-C1doGRwUWkHU_REPXUoQ_17_5"/>
      <w:bookmarkStart w:id="334" w:name="Tc_OfVuhrI2Zk64TfAiNmkFFw_17_2"/>
      <w:bookmarkStart w:id="335" w:name="Tc_S-RlR8UIFk--dZDlidJ8HA_17_0"/>
      <w:bookmarkStart w:id="336" w:name="Tc_LMBpvs7KLUqHqteeYZIyrw_16_28"/>
      <w:bookmarkStart w:id="337" w:name="Tc_vVp4g0MiDEaVFRbp4SAUTA_16_25"/>
      <w:bookmarkStart w:id="338" w:name="Tc_VZoBe0wkbk203TMtuP_1Og_16_19"/>
      <w:bookmarkStart w:id="339" w:name="Tc_5qi_TjPKtk-DuxQ-1IPDWA_16_16"/>
      <w:bookmarkStart w:id="340" w:name="Tc_A3qfL5gwV0OkSHqLUVjqRQ_16_9"/>
      <w:bookmarkStart w:id="341" w:name="Tc_zA2G7MXx1kWVWMaLtATMsQ_16_5"/>
      <w:bookmarkStart w:id="342" w:name="Tc_IWHXjhP8GEKHjxXTg6dHCQ_16_2"/>
      <w:bookmarkStart w:id="343" w:name="Tc_I_43bz2mF0qjiEP73f2JhQ_16_0"/>
      <w:bookmarkStart w:id="344" w:name="Tc_A3_87qgRq0KabnmYzFlfZw_15_31"/>
      <w:bookmarkStart w:id="345" w:name="Tc_u9O7JiHYWUCEs_TGB3F-YA_15_28"/>
      <w:bookmarkStart w:id="346" w:name="Tc_394K1VypC0etOuA8uSWQ5g_15_25"/>
      <w:bookmarkStart w:id="347" w:name="Tc_bv1gPoMNB0ejtYpLDE9kpg_15_5"/>
      <w:bookmarkStart w:id="348" w:name="Tc_ULURu3kuu0yn2Y4n0iApBg_15_2"/>
      <w:bookmarkStart w:id="349" w:name="Tc_TEpM6cDBSESpm5AzwjqZZg_15_0"/>
      <w:bookmarkStart w:id="350" w:name="Tc_xr9S9Bs6vUuXHED5yS1gHA_14_0"/>
      <w:bookmarkStart w:id="351" w:name="Tc_9djmNAe6BkS57_xH6jC0Ug_12_28"/>
      <w:bookmarkStart w:id="352" w:name="Tc_rul_690zeUevPUnGD8_77A_12_25"/>
      <w:bookmarkStart w:id="353" w:name="Tc_i_wf-h0TFE-FLT6Lhd7fvA_12_22"/>
      <w:bookmarkStart w:id="354" w:name="Tc_nmL0jvehYECZvZijWk0dmQ_12_19"/>
      <w:bookmarkStart w:id="355" w:name="Tc_dEiJiZovcEOxU5JFE8E5kQ_12_16"/>
      <w:bookmarkStart w:id="356" w:name="Tc_YtFQVmsLyUGONg_KjsPPAg_12_14"/>
      <w:bookmarkStart w:id="357" w:name="Tc_KQ_kIYkrvEKWOfV-pAX-zA_12_11"/>
      <w:bookmarkStart w:id="358" w:name="Tc_x9D655SVB0SJxMRGKuzlNA_12_5"/>
      <w:bookmarkStart w:id="359" w:name="Tc_Gf7qUx3Z70eP-Vp4bkB9BA_12_2"/>
      <w:bookmarkStart w:id="360" w:name="Tc_uRY73juagU-WSlgzttILCw_12_0"/>
      <w:bookmarkStart w:id="361" w:name="Tc_HZU7X_XWOU2W4F9CkzJnxA_11_28"/>
      <w:bookmarkStart w:id="362" w:name="Tc__Y_HqGmN3EerS56x1L7AZg_11_25"/>
      <w:bookmarkStart w:id="363" w:name="Tc_L1ck8277_UOx6WBQxX1OAA_11_22"/>
      <w:bookmarkStart w:id="364" w:name="Tc_NIj7xZ8dPE-Os6FBbSmjNg_11_19"/>
      <w:bookmarkStart w:id="365" w:name="Tc_T1-F3Dz2Ikyv6OlN-v3wBg_11_16"/>
      <w:bookmarkStart w:id="366" w:name="Tc_2AueDzybikOwzeUqhtAxUA_11_14"/>
      <w:bookmarkStart w:id="367" w:name="Tc_pA9NIYL8KEeIOd0ztl-Jmg_11_11"/>
      <w:bookmarkStart w:id="368" w:name="Tc_7ZfyfXCfDU69Rd6yxi8ncw_11_2"/>
      <w:bookmarkStart w:id="369" w:name="Tc_qbz5gWnvlE2uRlunYsWe6g_11_0"/>
      <w:bookmarkStart w:id="370" w:name="Tc_Ir1rEVR430OXKUbBzNkXFA_10_28"/>
      <w:bookmarkStart w:id="371" w:name="Tc_1Vt5GSMnBEOrrJiA-pKPGQ_10_25"/>
      <w:bookmarkStart w:id="372" w:name="Tc_N9xXPhp-MEKC97RAIz0awQ_10_22"/>
      <w:bookmarkStart w:id="373" w:name="Tc_uwObhio-yUip_TmLcM-HMA_10_19"/>
      <w:bookmarkStart w:id="374" w:name="Tc_bPf5HaDDM0KJPNLbtlDKYA_10_16"/>
      <w:bookmarkStart w:id="375" w:name="Tc_K2gcF56l70GK6zDgYiTN5w_10_14"/>
      <w:bookmarkStart w:id="376" w:name="Tc_4z7gEXUpAE2_RQJ0FrDOgw_10_11"/>
      <w:bookmarkStart w:id="377" w:name="Tc__Lz7Rsdn_0OToLV4-b6gnA_10_5"/>
      <w:bookmarkStart w:id="378" w:name="Tc_C3s7j1_bGESVa_ffcLlBfw_10_2"/>
      <w:bookmarkStart w:id="379" w:name="Tc_uHYfEgmaR0SQVBdI8XSzew_10_0"/>
      <w:bookmarkStart w:id="380" w:name="Tc_1xLqQtmp90WCMvQa5DaM8Q_8_30"/>
      <w:bookmarkStart w:id="381" w:name="Tc_88UEk9iuEUaL4W0CEP_4DA_8_27"/>
      <w:bookmarkStart w:id="382" w:name="Tc_nXKAMuP7LkGh38LIV6lvSQ_8_25"/>
      <w:bookmarkStart w:id="383" w:name="Tc_trCnNxhXsk6fcv7nDhia4w_8_22"/>
      <w:bookmarkStart w:id="384" w:name="Tc_sK_GvjlHMU6cUMmJq9f7hA_8_19"/>
      <w:bookmarkStart w:id="385" w:name="Tc_yoakzd0Z4UmMOLJwgGQiyg_8_16"/>
      <w:bookmarkStart w:id="386" w:name="Tc_EEzLSjey_Uy0vRkhZ6kIgw_8_14"/>
      <w:bookmarkStart w:id="387" w:name="Tc_0PT9uOmmGUqAYANzB5wbtg_8_11"/>
      <w:bookmarkStart w:id="388" w:name="Tc_3JEBDG_a20i88BJfhTkkCQ_8_8"/>
      <w:bookmarkStart w:id="389" w:name="Tc_jO7CCcqi6Uy7Yuy7YqI4jQ_8_4"/>
      <w:bookmarkStart w:id="390" w:name="Tc_-HaKGMSu5ki6pFAviovryA_8_0"/>
      <w:bookmarkStart w:id="391" w:name="Tc_cJdnHLwwok2jj1ADLcVoFg_7_28"/>
      <w:bookmarkStart w:id="392" w:name="Tc_AWyaLAtduUOuLAGLO0NPKg_7_25"/>
      <w:bookmarkStart w:id="393" w:name="Tc_Let8YuIrt06PDV169DcuRw_7_22"/>
      <w:bookmarkStart w:id="394" w:name="Tc_wgQ3gv8vbESekL2sZxCNlQ_7_19"/>
      <w:bookmarkStart w:id="395" w:name="Tc_rEcCXqWLBkmaYEfkUz9b9g_7_16"/>
      <w:bookmarkStart w:id="396" w:name="Tc_bJqYrmqVKUKWp0WTPqSKLw_7_14"/>
      <w:bookmarkStart w:id="397" w:name="Tc_rUWSr8K5_EqvrsMOPUWa4g_7_11"/>
      <w:bookmarkStart w:id="398" w:name="Tc_RsP6lT0InkW4PTQN1PKPdw_7_5"/>
      <w:bookmarkStart w:id="399" w:name="Tc_kP2i-dw0-ki6sO6hX0hWFg_7_2"/>
      <w:bookmarkStart w:id="400" w:name="Tc_vBWpGw2zVkCGZZykmbvrNQ_7_0"/>
      <w:bookmarkStart w:id="401" w:name="Tc_rodSd8eWdEaviKhxz5esqw_6_28"/>
      <w:bookmarkStart w:id="402" w:name="Tc_2MUtm_nS2ESBV7tQVnxHgg_6_25"/>
      <w:bookmarkStart w:id="403" w:name="Tc_sl9lWZHTuEOJvgPVwLoRFA_6_22"/>
      <w:bookmarkStart w:id="404" w:name="Tc_KmKHUDG_F0mtsrvYP8ByYA_6_19"/>
      <w:bookmarkStart w:id="405" w:name="Tc_6KfT8i1KrUe68_hAhvv2qg_6_16"/>
      <w:bookmarkStart w:id="406" w:name="Tc_HJxuLIs2VkuBzWu-IdKlEA_6_14"/>
      <w:bookmarkStart w:id="407" w:name="Tc_08he1OM-TEiYbpw_1Fm0Ug_6_11"/>
      <w:bookmarkStart w:id="408" w:name="Tc_potxTjU80EqOY_ZQG2YOSg_6_2"/>
      <w:bookmarkStart w:id="409" w:name="Tc_Fqk5jZVu0U-Uqv7fPfo3Yg_6_0"/>
      <w:bookmarkStart w:id="410" w:name="Tc_qlqgYiginUiNn0HrAmtoYQ_5_28"/>
      <w:bookmarkStart w:id="411" w:name="Tc_WPy46BdWf0aD_UAlFWViwg_5_25"/>
      <w:bookmarkStart w:id="412" w:name="Tc_CL5rThV_okizEX5OCzQHAg_5_22"/>
      <w:bookmarkStart w:id="413" w:name="Tc_WyNh75CN90iZcoksNKkp2A_5_19"/>
      <w:bookmarkStart w:id="414" w:name="Tc_UMAnSjBed0SIEO74eFDCgg_5_16"/>
      <w:bookmarkStart w:id="415" w:name="Tc_nEnicZyXIkiFsNZcbi1evA_5_14"/>
      <w:bookmarkStart w:id="416" w:name="Tc_MHZC1BnuVkm_cV4zkMf31w_5_11"/>
      <w:bookmarkStart w:id="417" w:name="Tc_T99lXGxItE2XpVtPzosc7A_5_2"/>
      <w:bookmarkStart w:id="418" w:name="Tc_OuFZDa-aY0KBguCM_0qk8g_5_0"/>
      <w:bookmarkStart w:id="419" w:name="Tc_zIrjp_VNmUqYQtiypBpXgg_4_30"/>
      <w:bookmarkStart w:id="420" w:name="Tc_dHjuUNVJS02GFz_yc7qJOw_4_27"/>
      <w:bookmarkStart w:id="421" w:name="Tc_j3WBuoEDfE67HYbnRCYd-w_4_25"/>
      <w:bookmarkStart w:id="422" w:name="Tc_fQg937fL8EuF8fl_O6jTuA_4_24"/>
      <w:bookmarkStart w:id="423" w:name="Tc_OtljnXGDVEi60ZzioXM6DA_4_22"/>
      <w:bookmarkStart w:id="424" w:name="Tc_4RhdTrn1jES9MU5pL2hJzA_4_21"/>
      <w:bookmarkStart w:id="425" w:name="Tc_ElXLsXRh7kOFUS_ClKyyrw_4_19"/>
      <w:bookmarkStart w:id="426" w:name="Tc_SQBy6JUmakuLv4zFVW3STw_4_18"/>
      <w:bookmarkStart w:id="427" w:name="Tc_TrwTlfEtTk2BuybS9X7Lew_4_16"/>
      <w:bookmarkStart w:id="428" w:name="Tc_VywS9MbD_U2ETAcLs7b15w_4_14"/>
      <w:bookmarkStart w:id="429" w:name="Tc_Wb2BhvOqjkycwk-OlRdjog_4_13"/>
      <w:bookmarkStart w:id="430" w:name="Tc_2Qw_GIWi0ESwJDg0zb5qdA_4_11"/>
      <w:bookmarkStart w:id="431" w:name="Tc_Nb7qAoepgUG-QtVQavYBTA_4_8"/>
      <w:bookmarkStart w:id="432" w:name="Tc_wU1sqeyAZUyyoZ95jwY42g_4_4"/>
      <w:bookmarkStart w:id="433" w:name="Tc_8I-gK2iC5U6Rxnmp1LaJcA_4_0"/>
      <w:bookmarkStart w:id="434" w:name="Tc_0KXUurC4BkSyZmorJ6ggpA_3_31"/>
      <w:bookmarkStart w:id="435" w:name="Tc_Y7jWDMkGo0-uLUHtlgWGTg_3_28"/>
      <w:bookmarkStart w:id="436" w:name="Tc_OICcfx9fo0WDlVQqxJb7vw_3_22"/>
      <w:bookmarkStart w:id="437" w:name="Tc_5jNK4wrwy0iXPOlKY2lfpw_3_19"/>
      <w:bookmarkStart w:id="438" w:name="Tc_Dh0Shv-s2kKF6S_5EQHYWw_3_16"/>
      <w:bookmarkStart w:id="439" w:name="Tc_yhgWaIx8xEWzYyrKfawuOw_3_14"/>
      <w:bookmarkStart w:id="440" w:name="Tc_rEE3YnHl80u8dC-NTVAINQ_3_11"/>
      <w:bookmarkStart w:id="441" w:name="Tc_ylztlPAELkW_6iTuumcGow_3_8"/>
      <w:bookmarkStart w:id="442" w:name="Tc_bj2ZbpWsN0eB8dnwPELZJQ_3_5"/>
      <w:bookmarkStart w:id="443" w:name="Tc_UpFZOV17IkinAedoXoI1RA_3_2"/>
      <w:bookmarkStart w:id="444" w:name="Tc_JP1HnKpDJ06TeHvLoCXZ0A_2_30"/>
      <w:bookmarkStart w:id="445" w:name="Tc_268e5kFZ3EG0L3GPxIM_9A_2_27"/>
      <w:bookmarkStart w:id="446" w:name="Tc_56qzR7GTGUKJSAbQVm1yKQ_2_24"/>
      <w:bookmarkStart w:id="447" w:name="Tc_RyQZc2SijU6e4KS2q26K6g_2_21"/>
      <w:bookmarkStart w:id="448" w:name="Tc_KR-4BXSD002Nu26sMKtLlQ_2_16"/>
      <w:bookmarkStart w:id="449" w:name="Tc_lKQ5-rGKK06-1JRD1nixpg_2_11"/>
      <w:bookmarkStart w:id="450" w:name="Tc_hVzPQtWCQkCN0_l4XuJHpw_2_8"/>
      <w:bookmarkStart w:id="451" w:name="Tc_s_575AQYPEikQpr80gA_oA_2_2"/>
      <w:bookmarkStart w:id="452" w:name="Tc_6-kxw22b10WJJoBbrhCl_w_1_30"/>
      <w:bookmarkStart w:id="453" w:name="Tc_FT7DCwyn-kiomimwmJfemw_1_27"/>
      <w:bookmarkStart w:id="454" w:name="Tc_DBmv3z6agk-C38-WNcNQmA_1_24"/>
      <w:bookmarkStart w:id="455" w:name="Tc_G_PfyI3RlUi933j1GATYaA_1_21"/>
      <w:bookmarkStart w:id="456" w:name="Tc_wHoDWzb04kuINvvY056gZg_1_16"/>
      <w:bookmarkStart w:id="457" w:name="Tc_eAiZzciOVECwqg48IXWH9g_1_11"/>
      <w:bookmarkStart w:id="458" w:name="Tc_PZuXGkjYX0ur6TC56LNmNQ_1_8"/>
      <w:bookmarkStart w:id="459" w:name="Tc_Mz80IG-3DE6m7XHTf8NW5w_1_2"/>
      <w:bookmarkStart w:id="460" w:name="_628b97c9_75d6_4dbc_bc32_a0d0a24accd2"/>
      <w:bookmarkStart w:id="461" w:name="Tc_JykYJXVtOUWjTAs1PKO-UA_26_30"/>
      <w:bookmarkStart w:id="462" w:name="Tc_zH0dql73lEaeNwO7qd8-kw_26_27"/>
      <w:bookmarkStart w:id="463" w:name="Tc_dJXSR9XP7kqXZrLM-W66VQ_26_24"/>
      <w:bookmarkStart w:id="464" w:name="Tc__co6Cvu8yUKhfRAVhZ8fsQ_26_21"/>
      <w:bookmarkStart w:id="465" w:name="Tc_gyVweC8LyESDk1fm3rik1g_26_18"/>
      <w:bookmarkStart w:id="466" w:name="Tc_mslnAdlu5EG4QWBvIA2cHA_26_13"/>
      <w:bookmarkStart w:id="467" w:name="Tc_0px9LyvQV0WE36jajEXyIw_26_9"/>
      <w:bookmarkStart w:id="468" w:name="Tc_gfaiS8qCjESzIQXSxcbL3g_26_8"/>
      <w:bookmarkStart w:id="469" w:name="Tc_H1kt7YtwQUWPWHY1qa1QlQ_26_5"/>
      <w:bookmarkStart w:id="470" w:name="Tc_TgtRf0nwmkmahT9-cqsPow_26_4"/>
      <w:bookmarkStart w:id="471" w:name="Tc_CIhtoPrV6U-HBPv4pudjYg_26_2"/>
      <w:bookmarkStart w:id="472" w:name="Tc_zNNH9vnoD0qTn3jB5ebrMg_26_0"/>
      <w:bookmarkStart w:id="473" w:name="Tc_pdan_5GfTUWSjL49rs7DRA_25_28"/>
      <w:bookmarkStart w:id="474" w:name="Tc_w7Cup853hkyGEFlIv7Aoig_25_25"/>
      <w:bookmarkStart w:id="475" w:name="Tc_AvDcj_9KIU-8ExfRV5WzeQ_25_19"/>
      <w:bookmarkStart w:id="476" w:name="Tc_B2MvjPBcQECdokKaQ8senw_25_16"/>
      <w:bookmarkStart w:id="477" w:name="Tc_O53CLX-BN0G_af81aN7fWA_25_14"/>
      <w:bookmarkStart w:id="478" w:name="Tc_jZQLeffqB0eiHHPdhZi_lw_25_11"/>
      <w:bookmarkStart w:id="479" w:name="Tc_ZuWNWtZwC0uBzgyb0G-TUA_25_9"/>
      <w:bookmarkStart w:id="480" w:name="Tc_L9zSiT-r4kaOTNoyTj6Ibg_25_5"/>
      <w:bookmarkStart w:id="481" w:name="Tc_h2pYqN8J8EeSbQ2W4wq7cw_25_2"/>
      <w:bookmarkStart w:id="482" w:name="Tc_uob7SsYEMkOQ1BcMWCUPQg_25_0"/>
      <w:bookmarkStart w:id="483" w:name="Tc_IxwpLXiQeEGt6Oofx4ibow_24_31"/>
      <w:bookmarkStart w:id="484" w:name="Tc_LEC5_XQ4XUenzkXWsl4Czg_24_25"/>
      <w:bookmarkStart w:id="485" w:name="Tc_YeKat2E5g0y_DPf8Co0Qmg_24_19"/>
      <w:bookmarkStart w:id="486" w:name="Tc_JPbHj_0Kw06_1z6a4Ghvuw_24_16"/>
      <w:bookmarkStart w:id="487" w:name="Tc_FieAswLdWEu3S5kN0NvOMg_24_14"/>
      <w:bookmarkStart w:id="488" w:name="Tc_rbUiN1vfBkOhBv6L3VzKpA_24_11"/>
      <w:bookmarkStart w:id="489" w:name="Tc_q2Zf_QfSk0GFC4lNe18IpA_24_9"/>
      <w:bookmarkStart w:id="490" w:name="Tc_O0DLBXfRBUuzCQ9IOXFy8g_24_5"/>
      <w:bookmarkStart w:id="491" w:name="Tc_A0CmCFe22EWXQrgaFWiYSA_24_2"/>
      <w:bookmarkStart w:id="492" w:name="Tc_UANfbrNUFEKaLG4kc7xv1A_24_0"/>
      <w:bookmarkStart w:id="493" w:name="Tc_FsOH_9iQTEiugpN1TmbAnQ_23_22"/>
      <w:bookmarkStart w:id="494" w:name="Tc_JLfPeJ_41UKZOCnlKR7wdw_23_19"/>
      <w:bookmarkStart w:id="495" w:name="Tc_YroP5nA8pk2ORxVc8FvABw_23_16"/>
      <w:bookmarkStart w:id="496" w:name="Tc_ye9qkS_Bkk6b7lcO2a95Iw_23_14"/>
      <w:bookmarkStart w:id="497" w:name="Tc_aH1JeuBRr0SxeXV5wGM_ZQ_23_11"/>
      <w:bookmarkStart w:id="498" w:name="Tc_-MGp5dE0x02SJ3W9-icjNg_23_9"/>
      <w:bookmarkStart w:id="499" w:name="Tc_7HZrMGDehEqEImFScw06YA_23_5"/>
      <w:bookmarkStart w:id="500" w:name="Tc_rCr3-R8pW0CSvsP2PANBTQ_23_2"/>
      <w:bookmarkStart w:id="501" w:name="Tc_4Vq_FGzIUki-br6EOhelJg_23_0"/>
      <w:bookmarkStart w:id="502" w:name="Tc_iChh1W8WaU--9SdJ4yj0mA_22_31"/>
      <w:bookmarkStart w:id="503" w:name="Tc_X2ZGrP8GE0693u-p3KvfWQ_22_28"/>
      <w:bookmarkStart w:id="504" w:name="Tc_-i35HBPj5k-trDN-3ugwGA_22_25"/>
      <w:bookmarkStart w:id="505" w:name="Tc_65fATu1FAE2lLIcWzJXbrw_22_22"/>
      <w:bookmarkStart w:id="506" w:name="Tc_Od-0aTPc0kOs2l2hocIZZg_22_19"/>
      <w:bookmarkStart w:id="507" w:name="Tc_1zbpYvZu0U2oB-kxdjJfkA_22_16"/>
      <w:bookmarkStart w:id="508" w:name="Tc_EvEDL3qSZEydoSmJjNFLDA_22_14"/>
      <w:bookmarkStart w:id="509" w:name="Tc_j6nU9YoDVEO7ZvxxsCEm5w_22_11"/>
      <w:bookmarkStart w:id="510" w:name="Tc_zIfesSJ2QEeJLGE0QS8H8Q_22_9"/>
      <w:bookmarkStart w:id="511" w:name="Tc_7HqdioSUSEinFXBKwCLJtA_22_0"/>
      <w:bookmarkStart w:id="512" w:name="Tc_0nlq0IoxwkG5ugHOOq6ZDA_21_0"/>
      <w:bookmarkStart w:id="513" w:name="Tc_l_tFt5mEckqXBkL5TShYXg_19_31"/>
      <w:bookmarkStart w:id="514" w:name="Tc_PzGoSoQTnkS4rTxuId7Csw_19_25"/>
      <w:bookmarkStart w:id="515" w:name="Tc_FvEHH7PRJEyLz2sjqEIVdg_19_19"/>
      <w:bookmarkStart w:id="516" w:name="Tc_S-RBfMcvWEuzP0TreeOLBQ_19_16"/>
      <w:bookmarkStart w:id="517" w:name="Tc_KFtyzWIKEUeCphAf8Y-zYA_19_14"/>
      <w:bookmarkStart w:id="518" w:name="Tc_KXBO-xUwEky4LbkgG0775Q_19_11"/>
      <w:bookmarkStart w:id="519" w:name="Tc_80Vq78Dh60CLc1FYhAxvlg_19_9"/>
      <w:bookmarkStart w:id="520" w:name="Tc_0JjTDnGrqU6x58jLXFZi0g_19_5"/>
      <w:bookmarkStart w:id="521" w:name="Tc_YSy7HF3Y4kW_gq0-lVIEBg_19_2"/>
      <w:bookmarkStart w:id="522" w:name="Tc_lSaPUI4ho06YTTO6a6fzbw_19_0"/>
      <w:bookmarkStart w:id="523" w:name="Tc_NcsxDkdd1Ey5cnWte1IbdA_18_28"/>
      <w:bookmarkStart w:id="524" w:name="Tc_XCh8wSU1CUq2CJibYxD5xQ_18_25"/>
      <w:bookmarkStart w:id="525" w:name="Tc_zXXw-L9WKEOY4TyNrcxeYQ_18_19"/>
      <w:bookmarkStart w:id="526" w:name="Tc_XxESFR_7AU2BoEK7UCyfuQ_18_16"/>
      <w:bookmarkStart w:id="527" w:name="Tc_rnx6fXOXZkmuAMbAE5EZpg_18_14"/>
      <w:bookmarkStart w:id="528" w:name="Tc_TQiEXn9Rn0S4StLyiaCEjw_18_11"/>
      <w:bookmarkStart w:id="529" w:name="Tc_y4RlkECtJUqiz9BbpVMNww_18_9"/>
      <w:bookmarkStart w:id="530" w:name="Tc_WXn3F8PS3UqS0F41DaLFjg_18_5"/>
      <w:bookmarkStart w:id="531" w:name="Tc_XyOeeETIxUeqrcS2MdM36A_18_2"/>
      <w:bookmarkStart w:id="532" w:name="Tc_Eh_H8Eos20ig0PAwRyElag_18_0"/>
      <w:bookmarkStart w:id="533" w:name="Tc_m1Zs-V0k2UmQCaBSheqAbQ_17_28"/>
      <w:bookmarkStart w:id="534" w:name="Tc_sMUKGb2iR0iBWVqY_-gJoA_17_25"/>
      <w:bookmarkStart w:id="535" w:name="Tc_o77Zf9h3Mk6DqkaQMG4D8Q_17_19"/>
      <w:bookmarkStart w:id="536" w:name="Tc_b1oT_6IEZkSqzUQTSn12MQ_17_16"/>
      <w:bookmarkStart w:id="537" w:name="Tc_XFQGQhFQR0G0ob97w_EFDg_17_14"/>
      <w:bookmarkStart w:id="538" w:name="Tc_dvEr-m7Md0mWUkVchf1I3g_17_11"/>
      <w:bookmarkStart w:id="539" w:name="Tc_V0RL-HN3UEKx_bBsddV0Cg_17_9"/>
      <w:bookmarkStart w:id="540" w:name="Tc_k-C1doGRwUWkHU_REPXUoQ_17_5"/>
      <w:bookmarkStart w:id="541" w:name="Tc_OfVuhrI2Zk64TfAiNmkFFw_17_2"/>
      <w:bookmarkStart w:id="542" w:name="Tc_S-RlR8UIFk--dZDlidJ8HA_17_0"/>
      <w:bookmarkStart w:id="543" w:name="Tc_LMBpvs7KLUqHqteeYZIyrw_16_28"/>
      <w:bookmarkStart w:id="544" w:name="Tc_vVp4g0MiDEaVFRbp4SAUTA_16_25"/>
      <w:bookmarkStart w:id="545" w:name="Tc_VZoBe0wkbk203TMtuP_1Og_16_19"/>
      <w:bookmarkStart w:id="546" w:name="Tc_5qi_TjPKtk-DuxQ-1IPDWA_16_16"/>
      <w:bookmarkStart w:id="547" w:name="Tc_A3qfL5gwV0OkSHqLUVjqRQ_16_9"/>
      <w:bookmarkStart w:id="548" w:name="Tc_zA2G7MXx1kWVWMaLtATMsQ_16_5"/>
      <w:bookmarkStart w:id="549" w:name="Tc_IWHXjhP8GEKHjxXTg6dHCQ_16_2"/>
      <w:bookmarkStart w:id="550" w:name="Tc_I_43bz2mF0qjiEP73f2JhQ_16_0"/>
      <w:bookmarkStart w:id="551" w:name="Tc_A3_87qgRq0KabnmYzFlfZw_15_31"/>
      <w:bookmarkStart w:id="552" w:name="Tc_u9O7JiHYWUCEs_TGB3F-YA_15_28"/>
      <w:bookmarkStart w:id="553" w:name="Tc_394K1VypC0etOuA8uSWQ5g_15_25"/>
      <w:bookmarkStart w:id="554" w:name="Tc_bv1gPoMNB0ejtYpLDE9kpg_15_5"/>
      <w:bookmarkStart w:id="555" w:name="Tc_ULURu3kuu0yn2Y4n0iApBg_15_2"/>
      <w:bookmarkStart w:id="556" w:name="Tc_TEpM6cDBSESpm5AzwjqZZg_15_0"/>
      <w:bookmarkStart w:id="557" w:name="Tc_xr9S9Bs6vUuXHED5yS1gHA_14_0"/>
      <w:bookmarkStart w:id="558" w:name="Tc_9djmNAe6BkS57_xH6jC0Ug_12_28"/>
      <w:bookmarkStart w:id="559" w:name="Tc_rul_690zeUevPUnGD8_77A_12_25"/>
      <w:bookmarkStart w:id="560" w:name="Tc_i_wf-h0TFE-FLT6Lhd7fvA_12_22"/>
      <w:bookmarkStart w:id="561" w:name="Tc_nmL0jvehYECZvZijWk0dmQ_12_19"/>
      <w:bookmarkStart w:id="562" w:name="Tc_dEiJiZovcEOxU5JFE8E5kQ_12_16"/>
      <w:bookmarkStart w:id="563" w:name="Tc_YtFQVmsLyUGONg_KjsPPAg_12_14"/>
      <w:bookmarkStart w:id="564" w:name="Tc_KQ_kIYkrvEKWOfV-pAX-zA_12_11"/>
      <w:bookmarkStart w:id="565" w:name="Tc_x9D655SVB0SJxMRGKuzlNA_12_5"/>
      <w:bookmarkStart w:id="566" w:name="Tc_Gf7qUx3Z70eP-Vp4bkB9BA_12_2"/>
      <w:bookmarkStart w:id="567" w:name="Tc_uRY73juagU-WSlgzttILCw_12_0"/>
      <w:bookmarkStart w:id="568" w:name="Tc_HZU7X_XWOU2W4F9CkzJnxA_11_28"/>
      <w:bookmarkStart w:id="569" w:name="Tc__Y_HqGmN3EerS56x1L7AZg_11_25"/>
      <w:bookmarkStart w:id="570" w:name="Tc_L1ck8277_UOx6WBQxX1OAA_11_22"/>
      <w:bookmarkStart w:id="571" w:name="Tc_NIj7xZ8dPE-Os6FBbSmjNg_11_19"/>
      <w:bookmarkStart w:id="572" w:name="Tc_T1-F3Dz2Ikyv6OlN-v3wBg_11_16"/>
      <w:bookmarkStart w:id="573" w:name="Tc_2AueDzybikOwzeUqhtAxUA_11_14"/>
      <w:bookmarkStart w:id="574" w:name="Tc_pA9NIYL8KEeIOd0ztl-Jmg_11_11"/>
      <w:bookmarkStart w:id="575" w:name="Tc_7ZfyfXCfDU69Rd6yxi8ncw_11_2"/>
      <w:bookmarkStart w:id="576" w:name="Tc_qbz5gWnvlE2uRlunYsWe6g_11_0"/>
      <w:bookmarkStart w:id="577" w:name="Tc_Ir1rEVR430OXKUbBzNkXFA_10_28"/>
      <w:bookmarkStart w:id="578" w:name="Tc_1Vt5GSMnBEOrrJiA-pKPGQ_10_25"/>
      <w:bookmarkStart w:id="579" w:name="Tc_N9xXPhp-MEKC97RAIz0awQ_10_22"/>
      <w:bookmarkStart w:id="580" w:name="Tc_uwObhio-yUip_TmLcM-HMA_10_19"/>
      <w:bookmarkStart w:id="581" w:name="Tc_bPf5HaDDM0KJPNLbtlDKYA_10_16"/>
      <w:bookmarkStart w:id="582" w:name="Tc_K2gcF56l70GK6zDgYiTN5w_10_14"/>
      <w:bookmarkStart w:id="583" w:name="Tc_4z7gEXUpAE2_RQJ0FrDOgw_10_11"/>
      <w:bookmarkStart w:id="584" w:name="Tc__Lz7Rsdn_0OToLV4-b6gnA_10_5"/>
      <w:bookmarkStart w:id="585" w:name="Tc_C3s7j1_bGESVa_ffcLlBfw_10_2"/>
      <w:bookmarkStart w:id="586" w:name="Tc_uHYfEgmaR0SQVBdI8XSzew_10_0"/>
      <w:bookmarkStart w:id="587" w:name="Tc_1xLqQtmp90WCMvQa5DaM8Q_8_30"/>
      <w:bookmarkStart w:id="588" w:name="Tc_88UEk9iuEUaL4W0CEP_4DA_8_27"/>
      <w:bookmarkStart w:id="589" w:name="Tc_nXKAMuP7LkGh38LIV6lvSQ_8_25"/>
      <w:bookmarkStart w:id="590" w:name="Tc_trCnNxhXsk6fcv7nDhia4w_8_22"/>
      <w:bookmarkStart w:id="591" w:name="Tc_sK_GvjlHMU6cUMmJq9f7hA_8_19"/>
      <w:bookmarkStart w:id="592" w:name="Tc_yoakzd0Z4UmMOLJwgGQiyg_8_16"/>
      <w:bookmarkStart w:id="593" w:name="Tc_EEzLSjey_Uy0vRkhZ6kIgw_8_14"/>
      <w:bookmarkStart w:id="594" w:name="Tc_0PT9uOmmGUqAYANzB5wbtg_8_11"/>
      <w:bookmarkStart w:id="595" w:name="Tc_3JEBDG_a20i88BJfhTkkCQ_8_8"/>
      <w:bookmarkStart w:id="596" w:name="Tc_jO7CCcqi6Uy7Yuy7YqI4jQ_8_4"/>
      <w:bookmarkStart w:id="597" w:name="Tc_-HaKGMSu5ki6pFAviovryA_8_0"/>
      <w:bookmarkStart w:id="598" w:name="Tc_cJdnHLwwok2jj1ADLcVoFg_7_28"/>
      <w:bookmarkStart w:id="599" w:name="Tc_AWyaLAtduUOuLAGLO0NPKg_7_25"/>
      <w:bookmarkStart w:id="600" w:name="Tc_Let8YuIrt06PDV169DcuRw_7_22"/>
      <w:bookmarkStart w:id="601" w:name="Tc_wgQ3gv8vbESekL2sZxCNlQ_7_19"/>
      <w:bookmarkStart w:id="602" w:name="Tc_rEcCXqWLBkmaYEfkUz9b9g_7_16"/>
      <w:bookmarkStart w:id="603" w:name="Tc_bJqYrmqVKUKWp0WTPqSKLw_7_14"/>
      <w:bookmarkStart w:id="604" w:name="Tc_rUWSr8K5_EqvrsMOPUWa4g_7_11"/>
      <w:bookmarkStart w:id="605" w:name="Tc_RsP6lT0InkW4PTQN1PKPdw_7_5"/>
      <w:bookmarkStart w:id="606" w:name="Tc_kP2i-dw0-ki6sO6hX0hWFg_7_2"/>
      <w:bookmarkStart w:id="607" w:name="Tc_vBWpGw2zVkCGZZykmbvrNQ_7_0"/>
      <w:bookmarkStart w:id="608" w:name="Tc_rodSd8eWdEaviKhxz5esqw_6_28"/>
      <w:bookmarkStart w:id="609" w:name="Tc_2MUtm_nS2ESBV7tQVnxHgg_6_25"/>
      <w:bookmarkStart w:id="610" w:name="Tc_sl9lWZHTuEOJvgPVwLoRFA_6_22"/>
      <w:bookmarkStart w:id="611" w:name="Tc_KmKHUDG_F0mtsrvYP8ByYA_6_19"/>
      <w:bookmarkStart w:id="612" w:name="Tc_6KfT8i1KrUe68_hAhvv2qg_6_16"/>
      <w:bookmarkStart w:id="613" w:name="Tc_HJxuLIs2VkuBzWu-IdKlEA_6_14"/>
      <w:bookmarkStart w:id="614" w:name="Tc_08he1OM-TEiYbpw_1Fm0Ug_6_11"/>
      <w:bookmarkStart w:id="615" w:name="Tc_potxTjU80EqOY_ZQG2YOSg_6_2"/>
      <w:bookmarkStart w:id="616" w:name="Tc_Fqk5jZVu0U-Uqv7fPfo3Yg_6_0"/>
      <w:bookmarkStart w:id="617" w:name="Tc_qlqgYiginUiNn0HrAmtoYQ_5_28"/>
      <w:bookmarkStart w:id="618" w:name="Tc_WPy46BdWf0aD_UAlFWViwg_5_25"/>
      <w:bookmarkStart w:id="619" w:name="Tc_CL5rThV_okizEX5OCzQHAg_5_22"/>
      <w:bookmarkStart w:id="620" w:name="Tc_WyNh75CN90iZcoksNKkp2A_5_19"/>
      <w:bookmarkStart w:id="621" w:name="Tc_UMAnSjBed0SIEO74eFDCgg_5_16"/>
      <w:bookmarkStart w:id="622" w:name="Tc_nEnicZyXIkiFsNZcbi1evA_5_14"/>
      <w:bookmarkStart w:id="623" w:name="Tc_MHZC1BnuVkm_cV4zkMf31w_5_11"/>
      <w:bookmarkStart w:id="624" w:name="Tc_T99lXGxItE2XpVtPzosc7A_5_2"/>
      <w:bookmarkStart w:id="625" w:name="Tc_OuFZDa-aY0KBguCM_0qk8g_5_0"/>
      <w:bookmarkStart w:id="626" w:name="Tc_zIrjp_VNmUqYQtiypBpXgg_4_30"/>
      <w:bookmarkStart w:id="627" w:name="Tc_dHjuUNVJS02GFz_yc7qJOw_4_27"/>
      <w:bookmarkStart w:id="628" w:name="Tc_j3WBuoEDfE67HYbnRCYd-w_4_25"/>
      <w:bookmarkStart w:id="629" w:name="Tc_fQg937fL8EuF8fl_O6jTuA_4_24"/>
      <w:bookmarkStart w:id="630" w:name="Tc_OtljnXGDVEi60ZzioXM6DA_4_22"/>
      <w:bookmarkStart w:id="631" w:name="Tc_4RhdTrn1jES9MU5pL2hJzA_4_21"/>
      <w:bookmarkStart w:id="632" w:name="Tc_ElXLsXRh7kOFUS_ClKyyrw_4_19"/>
      <w:bookmarkStart w:id="633" w:name="Tc_SQBy6JUmakuLv4zFVW3STw_4_18"/>
      <w:bookmarkStart w:id="634" w:name="Tc_TrwTlfEtTk2BuybS9X7Lew_4_16"/>
      <w:bookmarkStart w:id="635" w:name="Tc_VywS9MbD_U2ETAcLs7b15w_4_14"/>
      <w:bookmarkStart w:id="636" w:name="Tc_Wb2BhvOqjkycwk-OlRdjog_4_13"/>
      <w:bookmarkStart w:id="637" w:name="Tc_2Qw_GIWi0ESwJDg0zb5qdA_4_11"/>
      <w:bookmarkStart w:id="638" w:name="Tc_Nb7qAoepgUG-QtVQavYBTA_4_8"/>
      <w:bookmarkStart w:id="639" w:name="Tc_wU1sqeyAZUyyoZ95jwY42g_4_4"/>
      <w:bookmarkStart w:id="640" w:name="Tc_8I-gK2iC5U6Rxnmp1LaJcA_4_0"/>
      <w:bookmarkStart w:id="641" w:name="Tc_0KXUurC4BkSyZmorJ6ggpA_3_31"/>
      <w:bookmarkStart w:id="642" w:name="Tc_Y7jWDMkGo0-uLUHtlgWGTg_3_28"/>
      <w:bookmarkStart w:id="643" w:name="Tc_OICcfx9fo0WDlVQqxJb7vw_3_22"/>
      <w:bookmarkStart w:id="644" w:name="Tc_5jNK4wrwy0iXPOlKY2lfpw_3_19"/>
      <w:bookmarkStart w:id="645" w:name="Tc_Dh0Shv-s2kKF6S_5EQHYWw_3_16"/>
      <w:bookmarkStart w:id="646" w:name="Tc_yhgWaIx8xEWzYyrKfawuOw_3_14"/>
      <w:bookmarkStart w:id="647" w:name="Tc_rEE3YnHl80u8dC-NTVAINQ_3_11"/>
      <w:bookmarkStart w:id="648" w:name="Tc_ylztlPAELkW_6iTuumcGow_3_8"/>
      <w:bookmarkStart w:id="649" w:name="Tc_bj2ZbpWsN0eB8dnwPELZJQ_3_5"/>
      <w:bookmarkStart w:id="650" w:name="Tc_UpFZOV17IkinAedoXoI1RA_3_2"/>
      <w:bookmarkStart w:id="651" w:name="Tc_JP1HnKpDJ06TeHvLoCXZ0A_2_30"/>
      <w:bookmarkStart w:id="652" w:name="Tc_268e5kFZ3EG0L3GPxIM_9A_2_27"/>
      <w:bookmarkStart w:id="653" w:name="Tc_56qzR7GTGUKJSAbQVm1yKQ_2_24"/>
      <w:bookmarkStart w:id="654" w:name="Tc_RyQZc2SijU6e4KS2q26K6g_2_21"/>
      <w:bookmarkStart w:id="655" w:name="Tc_KR-4BXSD002Nu26sMKtLlQ_2_16"/>
      <w:bookmarkStart w:id="656" w:name="Tc_lKQ5-rGKK06-1JRD1nixpg_2_11"/>
      <w:bookmarkStart w:id="657" w:name="Tc_hVzPQtWCQkCN0_l4XuJHpw_2_8"/>
      <w:bookmarkStart w:id="658" w:name="Tc_s_575AQYPEikQpr80gA_oA_2_2"/>
      <w:bookmarkStart w:id="659" w:name="Tc_6-kxw22b10WJJoBbrhCl_w_1_30"/>
      <w:bookmarkStart w:id="660" w:name="Tc_FT7DCwyn-kiomimwmJfemw_1_27"/>
      <w:bookmarkStart w:id="661" w:name="Tc_DBmv3z6agk-C38-WNcNQmA_1_24"/>
      <w:bookmarkStart w:id="662" w:name="Tc_G_PfyI3RlUi933j1GATYaA_1_21"/>
      <w:bookmarkStart w:id="663" w:name="Tc_wHoDWzb04kuINvvY056gZg_1_16"/>
      <w:bookmarkStart w:id="664" w:name="Tc_eAiZzciOVECwqg48IXWH9g_1_11"/>
      <w:bookmarkStart w:id="665" w:name="Tc_PZuXGkjYX0ur6TC56LNmNQ_1_8"/>
      <w:bookmarkStart w:id="666" w:name="Tc_Mz80IG-3DE6m7XHTf8NW5w_1_2"/>
      <w:bookmarkStart w:id="667" w:name="_628b97c9_75d6_4dbc_bc32_a0d0a24accd2"/>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tbl>
      <w:tblPr>
        <w:tblW w:w="14231" w:type="dxa"/>
        <w:jc w:val="left"/>
        <w:tblInd w:w="0" w:type="dxa"/>
        <w:tblLayout w:type="fixed"/>
        <w:tblCellMar>
          <w:top w:w="0" w:type="dxa"/>
          <w:left w:w="0" w:type="dxa"/>
          <w:bottom w:w="0" w:type="dxa"/>
          <w:right w:w="0" w:type="dxa"/>
        </w:tblCellMar>
      </w:tblPr>
      <w:tblGrid>
        <w:gridCol w:w="1516"/>
        <w:gridCol w:w="346"/>
        <w:gridCol w:w="929"/>
        <w:gridCol w:w="134"/>
        <w:gridCol w:w="242"/>
        <w:gridCol w:w="931"/>
        <w:gridCol w:w="109"/>
        <w:gridCol w:w="109"/>
        <w:gridCol w:w="196"/>
        <w:gridCol w:w="751"/>
        <w:gridCol w:w="109"/>
        <w:gridCol w:w="916"/>
        <w:gridCol w:w="109"/>
        <w:gridCol w:w="196"/>
        <w:gridCol w:w="676"/>
        <w:gridCol w:w="109"/>
        <w:gridCol w:w="916"/>
        <w:gridCol w:w="109"/>
        <w:gridCol w:w="196"/>
        <w:gridCol w:w="676"/>
        <w:gridCol w:w="109"/>
        <w:gridCol w:w="196"/>
        <w:gridCol w:w="751"/>
        <w:gridCol w:w="109"/>
        <w:gridCol w:w="208"/>
        <w:gridCol w:w="543"/>
        <w:gridCol w:w="109"/>
        <w:gridCol w:w="278"/>
        <w:gridCol w:w="983"/>
        <w:gridCol w:w="109"/>
        <w:gridCol w:w="311"/>
        <w:gridCol w:w="1250"/>
      </w:tblGrid>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89915" cy="175260"/>
                      <wp:effectExtent l="0" t="0" r="0" b="0"/>
                      <wp:wrapNone/>
                      <wp:docPr id="25" name="Frame25"/>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85090" cy="175260"/>
                      <wp:effectExtent l="0" t="0" r="0" b="0"/>
                      <wp:wrapNone/>
                      <wp:docPr id="26" name="Frame26"/>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53670" cy="175260"/>
                      <wp:effectExtent l="0" t="0" r="0" b="0"/>
                      <wp:wrapNone/>
                      <wp:docPr id="27" name="Frame2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91185" cy="175260"/>
                      <wp:effectExtent l="0" t="0" r="0" b="0"/>
                      <wp:wrapNone/>
                      <wp:docPr id="28" name="Frame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4460" cy="175260"/>
                      <wp:effectExtent l="0" t="0" r="0" b="0"/>
                      <wp:wrapNone/>
                      <wp:docPr id="31"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76885" cy="175260"/>
                      <wp:effectExtent l="0" t="0" r="0" b="0"/>
                      <wp:wrapNone/>
                      <wp:docPr id="32" name="Frame3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81660" cy="175260"/>
                      <wp:effectExtent l="0" t="0" r="0" b="0"/>
                      <wp:wrapNone/>
                      <wp:docPr id="34" name="Frame3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6"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29260" cy="175260"/>
                      <wp:effectExtent l="0" t="0" r="0" b="0"/>
                      <wp:wrapNone/>
                      <wp:docPr id="37" name="Frame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8"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81660" cy="175260"/>
                      <wp:effectExtent l="0" t="0" r="0" b="0"/>
                      <wp:wrapNone/>
                      <wp:docPr id="39" name="Frame3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4460" cy="175260"/>
                      <wp:effectExtent l="0" t="0" r="0" b="0"/>
                      <wp:wrapNone/>
                      <wp:docPr id="41" name="Frame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29260" cy="175260"/>
                      <wp:effectExtent l="0" t="0" r="0" b="0"/>
                      <wp:wrapNone/>
                      <wp:docPr id="42" name="Frame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76885" cy="175260"/>
                      <wp:effectExtent l="0" t="0" r="0" b="0"/>
                      <wp:wrapNone/>
                      <wp:docPr id="45" name="Frame4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2080" cy="175260"/>
                      <wp:effectExtent l="0" t="0" r="0" b="0"/>
                      <wp:wrapNone/>
                      <wp:docPr id="47" name="Frame47"/>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44805" cy="175260"/>
                      <wp:effectExtent l="0" t="0" r="0" b="0"/>
                      <wp:wrapNone/>
                      <wp:docPr id="48" name="Frame48"/>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76530" cy="175260"/>
                      <wp:effectExtent l="0" t="0" r="0" b="0"/>
                      <wp:wrapNone/>
                      <wp:docPr id="50" name="Frame5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24205" cy="175260"/>
                      <wp:effectExtent l="0" t="0" r="0" b="0"/>
                      <wp:wrapNone/>
                      <wp:docPr id="51" name="Frame51"/>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97485" cy="175260"/>
                      <wp:effectExtent l="0" t="0" r="0" b="0"/>
                      <wp:wrapNone/>
                      <wp:docPr id="53" name="Frame53"/>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93750" cy="175260"/>
                      <wp:effectExtent l="0" t="0" r="0" b="0"/>
                      <wp:wrapNone/>
                      <wp:docPr id="54" name="Frame54"/>
                      <a:graphic xmlns:a="http://schemas.openxmlformats.org/drawingml/2006/main">
                        <a:graphicData uri="http://schemas.microsoft.com/office/word/2010/wordprocessingShape">
                          <wps:wsp>
                            <wps:cNvSpPr txBox="1"/>
                            <wps:spPr>
                              <a:xfrm>
                                <a:off x="0" y="0"/>
                                <a:ext cx="793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 Senior Preferred</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Members’</w:t>
            </w:r>
          </w:p>
        </w:tc>
        <w:tc>
          <w:tcPr>
            <w:tcW w:w="109" w:type="dxa"/>
            <w:tcBorders/>
            <w:vAlign w:val="center"/>
          </w:tcPr>
          <w:p>
            <w:pPr>
              <w:pStyle w:val="TableContents"/>
              <w:bidi w:val="0"/>
              <w:spacing w:before="0" w:after="0"/>
              <w:ind w:left="0" w:right="0" w:hanging="0"/>
              <w:jc w:val="center"/>
              <w:rPr/>
            </w:pPr>
            <w:r>
              <w:rPr/>
              <w:t>​</w:t>
            </w:r>
          </w:p>
        </w:tc>
        <w:tc>
          <w:tcPr>
            <w:tcW w:w="189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Common Stock </w:t>
            </w:r>
          </w:p>
        </w:tc>
        <w:tc>
          <w:tcPr>
            <w:tcW w:w="109" w:type="dxa"/>
            <w:tcBorders/>
            <w:vAlign w:val="center"/>
          </w:tcPr>
          <w:p>
            <w:pPr>
              <w:pStyle w:val="TableContents"/>
              <w:bidi w:val="0"/>
              <w:spacing w:before="0" w:after="0"/>
              <w:ind w:left="0" w:right="0" w:hanging="0"/>
              <w:jc w:val="center"/>
              <w:rPr/>
            </w:pPr>
            <w:r>
              <w:rPr/>
              <w:t>​</w:t>
            </w:r>
          </w:p>
        </w:tc>
        <w:tc>
          <w:tcPr>
            <w:tcW w:w="189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Common Stock </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br/>
              <w:t>Paid-In</w:t>
            </w:r>
          </w:p>
        </w:tc>
        <w:tc>
          <w:tcPr>
            <w:tcW w:w="109" w:type="dxa"/>
            <w:tcBorders/>
            <w:vAlign w:val="center"/>
          </w:tcPr>
          <w:p>
            <w:pPr>
              <w:pStyle w:val="TableContents"/>
              <w:bidi w:val="0"/>
              <w:spacing w:before="0" w:after="0"/>
              <w:ind w:left="0" w:right="0" w:hanging="0"/>
              <w:jc w:val="center"/>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109"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109" w:type="dxa"/>
            <w:tcBorders/>
            <w:vAlign w:val="center"/>
          </w:tcPr>
          <w:p>
            <w:pPr>
              <w:pStyle w:val="TableContents"/>
              <w:bidi w:val="0"/>
              <w:spacing w:before="0" w:after="0"/>
              <w:ind w:left="0" w:right="0" w:hanging="0"/>
              <w:jc w:val="center"/>
              <w:rPr/>
            </w:pPr>
            <w:r>
              <w:rPr/>
              <w:t>​</w:t>
            </w:r>
          </w:p>
        </w:tc>
        <w:tc>
          <w:tcPr>
            <w:tcW w:w="15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Stockholders'/ Members'</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Membership Interests</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09" w:type="dxa"/>
            <w:tcBorders/>
            <w:vAlign w:val="center"/>
          </w:tcPr>
          <w:p>
            <w:pPr>
              <w:pStyle w:val="TableContents"/>
              <w:bidi w:val="0"/>
              <w:spacing w:before="0" w:after="0"/>
              <w:ind w:left="0" w:right="0" w:hanging="0"/>
              <w:jc w:val="center"/>
              <w:rPr/>
            </w:pPr>
            <w:r>
              <w:rPr/>
              <w:t>​</w:t>
            </w:r>
          </w:p>
        </w:tc>
        <w:tc>
          <w:tcPr>
            <w:tcW w:w="189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109" w:type="dxa"/>
            <w:tcBorders/>
            <w:vAlign w:val="center"/>
          </w:tcPr>
          <w:p>
            <w:pPr>
              <w:pStyle w:val="TableContents"/>
              <w:bidi w:val="0"/>
              <w:spacing w:before="0" w:after="0"/>
              <w:ind w:left="0" w:right="0" w:hanging="0"/>
              <w:jc w:val="center"/>
              <w:rPr/>
            </w:pPr>
            <w:r>
              <w:rPr/>
              <w:t>​</w:t>
            </w:r>
          </w:p>
        </w:tc>
        <w:tc>
          <w:tcPr>
            <w:tcW w:w="189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109" w:type="dxa"/>
            <w:tcBorders/>
            <w:vAlign w:val="center"/>
          </w:tcPr>
          <w:p>
            <w:pPr>
              <w:pStyle w:val="TableContents"/>
              <w:bidi w:val="0"/>
              <w:spacing w:before="0" w:after="0"/>
              <w:ind w:left="0" w:right="0" w:hanging="0"/>
              <w:jc w:val="center"/>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109"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109" w:type="dxa"/>
            <w:tcBorders/>
            <w:vAlign w:val="center"/>
          </w:tcPr>
          <w:p>
            <w:pPr>
              <w:pStyle w:val="TableContents"/>
              <w:bidi w:val="0"/>
              <w:spacing w:before="0" w:after="0"/>
              <w:ind w:left="0" w:right="0" w:hanging="0"/>
              <w:jc w:val="center"/>
              <w:rPr/>
            </w:pPr>
            <w:r>
              <w:rPr/>
              <w:t>​</w:t>
            </w:r>
          </w:p>
        </w:tc>
        <w:tc>
          <w:tcPr>
            <w:tcW w:w="15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Units</w:t>
            </w:r>
          </w:p>
        </w:tc>
        <w:tc>
          <w:tcPr>
            <w:tcW w:w="134" w:type="dxa"/>
            <w:tcBorders/>
            <w:vAlign w:val="center"/>
          </w:tcPr>
          <w:p>
            <w:pPr>
              <w:pStyle w:val="TableContents"/>
              <w:bidi w:val="0"/>
              <w:spacing w:before="0" w:after="0"/>
              <w:ind w:left="0" w:right="0" w:hanging="0"/>
              <w:jc w:val="center"/>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Amount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Amount</w:t>
            </w:r>
          </w:p>
        </w:tc>
        <w:tc>
          <w:tcPr>
            <w:tcW w:w="109"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Shares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w:t>
            </w:r>
          </w:p>
        </w:tc>
        <w:tc>
          <w:tcPr>
            <w:tcW w:w="109"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Shares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Amount</w:t>
            </w:r>
          </w:p>
        </w:tc>
        <w:tc>
          <w:tcPr>
            <w:tcW w:w="109" w:type="dxa"/>
            <w:tcBorders/>
            <w:vAlign w:val="center"/>
          </w:tcPr>
          <w:p>
            <w:pPr>
              <w:pStyle w:val="TableContents"/>
              <w:bidi w:val="0"/>
              <w:spacing w:before="0" w:after="0"/>
              <w:ind w:left="0" w:right="0" w:hanging="0"/>
              <w:jc w:val="center"/>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Amount</w:t>
            </w:r>
          </w:p>
        </w:tc>
        <w:tc>
          <w:tcPr>
            <w:tcW w:w="109" w:type="dxa"/>
            <w:tcBorders/>
            <w:vAlign w:val="center"/>
          </w:tcPr>
          <w:p>
            <w:pPr>
              <w:pStyle w:val="TableContents"/>
              <w:bidi w:val="0"/>
              <w:spacing w:before="0" w:after="0"/>
              <w:ind w:left="0" w:right="0" w:hanging="0"/>
              <w:jc w:val="center"/>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Amount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150,000</w:t>
            </w:r>
          </w:p>
        </w:tc>
        <w:tc>
          <w:tcPr>
            <w:tcW w:w="134"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239,628</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582,070</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1,099</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583,169</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w:t>
            </w:r>
          </w:p>
        </w:tc>
        <w:tc>
          <w:tcPr>
            <w:tcW w:w="34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(5,115)</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right"/>
              <w:rPr/>
            </w:pPr>
            <w:r>
              <w:rPr/>
              <w:t>​</w:t>
            </w:r>
          </w:p>
        </w:tc>
        <w:tc>
          <w:tcPr>
            <w:tcW w:w="5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left"/>
              <w:rPr/>
            </w:pPr>
            <w:r>
              <w:rPr/>
              <w:t> </w:t>
            </w:r>
          </w:p>
        </w:tc>
        <w:tc>
          <w:tcPr>
            <w:tcW w:w="12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(5,115)</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w:t>
            </w:r>
          </w:p>
        </w:tc>
        <w:tc>
          <w:tcPr>
            <w:tcW w:w="346"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10,402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(10,402)</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shd w:fill="CCEEFF" w:val="clear"/>
            <w:vAlign w:val="center"/>
          </w:tcPr>
          <w:p>
            <w:pPr>
              <w:pStyle w:val="TableContents"/>
              <w:bidi w:val="0"/>
              <w:spacing w:before="0" w:after="0"/>
              <w:ind w:left="0" w:right="0" w:hanging="0"/>
              <w:jc w:val="left"/>
              <w:rPr/>
            </w:pPr>
            <w:r>
              <w:rPr/>
              <w:t> </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(10,402)</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30,236</w:t>
            </w:r>
          </w:p>
        </w:tc>
        <w:tc>
          <w:tcPr>
            <w:tcW w:w="109" w:type="dxa"/>
            <w:tcBorders/>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30,236</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150,000</w:t>
            </w:r>
          </w:p>
        </w:tc>
        <w:tc>
          <w:tcPr>
            <w:tcW w:w="134"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249,287</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596,789</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1,099</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597,888</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right"/>
              <w:rPr/>
            </w:pPr>
            <w:r>
              <w:rPr/>
              <w:t>​</w:t>
            </w:r>
          </w:p>
        </w:tc>
        <w:tc>
          <w:tcPr>
            <w:tcW w:w="5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pPr>
            <w:r>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(18,395)</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(18,395)</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w:t>
            </w:r>
          </w:p>
        </w:tc>
        <w:tc>
          <w:tcPr>
            <w:tcW w:w="34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2,236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(2,236)</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right"/>
              <w:rPr/>
            </w:pPr>
            <w:r>
              <w:rPr/>
              <w:t>​</w:t>
            </w:r>
          </w:p>
        </w:tc>
        <w:tc>
          <w:tcPr>
            <w:tcW w:w="5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(2,236)</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9,717</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9,717</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right"/>
              <w:rPr/>
            </w:pPr>
            <w:r>
              <w:rPr/>
              <w:t>​</w:t>
            </w:r>
          </w:p>
        </w:tc>
        <w:tc>
          <w:tcPr>
            <w:tcW w:w="5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pPr>
            <w:r>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Effects of the Transactions and IPO:</w:t>
            </w:r>
          </w:p>
        </w:tc>
        <w:tc>
          <w:tcPr>
            <w:tcW w:w="34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pPr>
            <w:r>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Recapitalization of Continuing Equity Owners</w:t>
            </w:r>
          </w:p>
        </w:tc>
        <w:tc>
          <w:tcPr>
            <w:tcW w:w="34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(585,875)</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15,085,561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32,009,185</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585,871</w:t>
            </w:r>
          </w:p>
        </w:tc>
        <w:tc>
          <w:tcPr>
            <w:tcW w:w="109"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right"/>
              <w:rPr/>
            </w:pPr>
            <w:r>
              <w:rPr/>
              <w:t>​</w:t>
            </w:r>
          </w:p>
        </w:tc>
        <w:tc>
          <w:tcPr>
            <w:tcW w:w="5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pPr>
            <w:r>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Class A units sold in IPO and greenshoe, net of discounts of $20,930</w:t>
            </w:r>
          </w:p>
        </w:tc>
        <w:tc>
          <w:tcPr>
            <w:tcW w:w="34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16,100,000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301,068</w:t>
            </w:r>
          </w:p>
        </w:tc>
        <w:tc>
          <w:tcPr>
            <w:tcW w:w="109"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301,070</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IPO offering costs</w:t>
            </w:r>
          </w:p>
        </w:tc>
        <w:tc>
          <w:tcPr>
            <w:tcW w:w="34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(7,338)</w:t>
            </w:r>
          </w:p>
        </w:tc>
        <w:tc>
          <w:tcPr>
            <w:tcW w:w="109"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right"/>
              <w:rPr/>
            </w:pPr>
            <w:r>
              <w:rPr/>
              <w:t>​</w:t>
            </w:r>
          </w:p>
        </w:tc>
        <w:tc>
          <w:tcPr>
            <w:tcW w:w="5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(7,338)</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Establishment of tax receivable agreement and corresponding 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(50,636)</w:t>
            </w:r>
          </w:p>
        </w:tc>
        <w:tc>
          <w:tcPr>
            <w:tcW w:w="109"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(50,636)</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Allocation of equity to non-controlling interests</w:t>
            </w:r>
          </w:p>
        </w:tc>
        <w:tc>
          <w:tcPr>
            <w:tcW w:w="34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(446,477)</w:t>
            </w:r>
          </w:p>
        </w:tc>
        <w:tc>
          <w:tcPr>
            <w:tcW w:w="109"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right"/>
              <w:rPr/>
            </w:pPr>
            <w:r>
              <w:rPr/>
              <w:t>​</w:t>
            </w:r>
          </w:p>
        </w:tc>
        <w:tc>
          <w:tcPr>
            <w:tcW w:w="5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446,477</w:t>
            </w:r>
          </w:p>
        </w:tc>
        <w:tc>
          <w:tcPr>
            <w:tcW w:w="109"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pPr>
            <w:r>
              <w:rPr/>
              <w:t>—</w:t>
            </w:r>
          </w:p>
        </w:tc>
      </w:tr>
      <w:tr>
        <w:trPr/>
        <w:tc>
          <w:tcPr>
            <w:tcW w:w="15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pPr>
            <w:r>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Activity subsequent to the Transactions and IPO:</w:t>
            </w:r>
          </w:p>
        </w:tc>
        <w:tc>
          <w:tcPr>
            <w:tcW w:w="34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right"/>
              <w:rPr/>
            </w:pPr>
            <w:r>
              <w:rPr/>
              <w:t>​</w:t>
            </w:r>
          </w:p>
        </w:tc>
        <w:tc>
          <w:tcPr>
            <w:tcW w:w="5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pPr>
            <w:r>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Redemption of redeemable senior preferred membership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(150,000)</w:t>
            </w:r>
          </w:p>
        </w:tc>
        <w:tc>
          <w:tcPr>
            <w:tcW w:w="134"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(251,523)</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pPr>
            <w:r>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righ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6,574</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13,363</w:t>
            </w:r>
          </w:p>
        </w:tc>
        <w:tc>
          <w:tcPr>
            <w:tcW w:w="109"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19,937</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Allocation of equity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w:t>
            </w:r>
          </w:p>
        </w:tc>
        <w:tc>
          <w:tcPr>
            <w:tcW w:w="109"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pPr>
            <w:r>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w:t>
            </w:r>
          </w:p>
        </w:tc>
        <w:tc>
          <w:tcPr>
            <w:tcW w:w="346" w:type="dxa"/>
            <w:tcBorders/>
            <w:vAlign w:val="center"/>
          </w:tcPr>
          <w:p>
            <w:pPr>
              <w:pStyle w:val="TableContents"/>
              <w:bidi w:val="0"/>
              <w:spacing w:before="0" w:after="0"/>
              <w:ind w:left="0" w:right="0" w:hanging="0"/>
              <w:jc w:val="left"/>
              <w:rPr/>
            </w:pPr>
            <w:r>
              <w:rPr/>
              <w:t>​</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4,708</w:t>
            </w:r>
          </w:p>
        </w:tc>
        <w:tc>
          <w:tcPr>
            <w:tcW w:w="109" w:type="dxa"/>
            <w:tcBorders/>
            <w:vAlign w:val="center"/>
          </w:tcPr>
          <w:p>
            <w:pPr>
              <w:pStyle w:val="TableContents"/>
              <w:bidi w:val="0"/>
              <w:spacing w:before="0" w:after="0"/>
              <w:ind w:left="0" w:right="0" w:hanging="0"/>
              <w:jc w:val="righ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4,708</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31,185,561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32,009,185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387,226</w:t>
            </w:r>
          </w:p>
        </w:tc>
        <w:tc>
          <w:tcPr>
            <w:tcW w:w="109" w:type="dxa"/>
            <w:tcBorders/>
            <w:shd w:fill="CCEEFF" w:val="clear"/>
            <w:vAlign w:val="center"/>
          </w:tcPr>
          <w:p>
            <w:pPr>
              <w:pStyle w:val="TableContents"/>
              <w:bidi w:val="0"/>
              <w:spacing w:before="0" w:after="0"/>
              <w:ind w:left="0" w:right="0" w:hanging="0"/>
              <w:jc w:val="righ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6,574</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460,909</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50"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b/>
                <w:sz w:val="16"/>
              </w:rPr>
            </w:pPr>
            <w:r>
              <w:rPr>
                <w:rFonts w:ascii="Times New Roman;Times;serif" w:hAnsi="Times New Roman;Times;serif"/>
                <w:b/>
                <w:sz w:val="16"/>
              </w:rPr>
              <w:t>854,715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the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68" w:name="_7ff6fa98_b30c_4a2b_8407_0d335998fd08"/>
      <w:bookmarkEnd w:id="668"/>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b/>
          <w:sz w:val="20"/>
        </w:rPr>
      </w:pPr>
      <w:bookmarkStart w:id="669" w:name="BWUltimateParentEquity"/>
      <w:bookmarkEnd w:id="669"/>
      <w:r>
        <w:rPr>
          <w:rFonts w:ascii="Times New Roman;Times;serif" w:hAnsi="Times New Roman;Times;serif"/>
          <w:b/>
          <w:sz w:val="20"/>
        </w:rPr>
        <w:t>Condensed Consolidated Statements of Changes in Redeemable Senior Preferred Membership Interests, Stockholders’/Members’ Equity, Continued (Unaudited)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bookmarkStart w:id="670" w:name="YeswayIncEquity"/>
      <w:bookmarkEnd w:id="670"/>
      <w:r>
        <w:rPr>
          <w:rFonts w:ascii="Times New Roman;Times;serif" w:hAnsi="Times New Roman;Times;serif"/>
          <w:b/>
          <w:i/>
          <w:sz w:val="20"/>
        </w:rPr>
        <w:t>(dollars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71" w:name="Tc_dHn1vy3G6EqYtpvAv3pGQg_12_14"/>
      <w:bookmarkStart w:id="672" w:name="Tc_hBw28VbiP0OSseVepu63hQ_12_11"/>
      <w:bookmarkStart w:id="673" w:name="Tc_U5YXNMZMTEmWYNrRfTY9-w_12_8"/>
      <w:bookmarkStart w:id="674" w:name="Tc_zHBWZXybwkCDMvAN5pu95Q_12_4"/>
      <w:bookmarkStart w:id="675" w:name="Tc_gy92w7VrBUKg2lc4K6XKVw_12_0"/>
      <w:bookmarkStart w:id="676" w:name="Tc_FmgT-XcJU0KY4YcJBuJKgg_11_12"/>
      <w:bookmarkStart w:id="677" w:name="Tc_PqYc4ubKCkS5KKLgv_A-JQ_11_5"/>
      <w:bookmarkStart w:id="678" w:name="Tc_4JINhZkWJEqSd-4i7wOMpg_11_2"/>
      <w:bookmarkStart w:id="679" w:name="Tc_BRDHq1Ve1k6pI4rrlSY9-w_11_0"/>
      <w:bookmarkStart w:id="680" w:name="Tc_eEEJa8FNfUiu-4j9411cXw_10_12"/>
      <w:bookmarkStart w:id="681" w:name="Tc_jW9V8YScCE-mrcCJivdiSA_10_2"/>
      <w:bookmarkStart w:id="682" w:name="Tc_goJyU_jBxUOMXGOeCGKL_Q_10_0"/>
      <w:bookmarkStart w:id="683" w:name="Tc_6UC7MsYIm0Cga0vNly79Bw_9_12"/>
      <w:bookmarkStart w:id="684" w:name="Tc_-UsXy-kUUk-aZpyP0Xwahg_9_2"/>
      <w:bookmarkStart w:id="685" w:name="Tc_JxBznvx2Z0Wu-th4lKTlyQ_9_0"/>
      <w:bookmarkStart w:id="686" w:name="Tc_DucAkzeQ5EGKPyNgijpfIg_8_14"/>
      <w:bookmarkStart w:id="687" w:name="Tc_UtBXMkx1l0SKJOgyTNtMuw_8_11"/>
      <w:bookmarkStart w:id="688" w:name="Tc_u1HBAUT14Eq3OopjnVojwA_8_8"/>
      <w:bookmarkStart w:id="689" w:name="Tc_dojHxcgbIEC0qeF79jwsoA_8_4"/>
      <w:bookmarkStart w:id="690" w:name="Tc_thMveF7Hxk-vYShlcsgO3g_8_0"/>
      <w:bookmarkStart w:id="691" w:name="Tc_qdMcG8wsXkqmVdvlj1T_8g_7_12"/>
      <w:bookmarkStart w:id="692" w:name="Tc_JCQbezsmeEi8v-mtv41UHg_7_5"/>
      <w:bookmarkStart w:id="693" w:name="Tc_2ZCaECakj0y9A4awE-xZ9w_7_2"/>
      <w:bookmarkStart w:id="694" w:name="Tc_zPU03apSPEaAbKo_tUULfw_7_0"/>
      <w:bookmarkStart w:id="695" w:name="Tc_A9q0282LeUmEUX7N2LAdlQ_6_12"/>
      <w:bookmarkStart w:id="696" w:name="Tc_K5TJ1UJ-b0K-Pxc2I07PMQ_6_2"/>
      <w:bookmarkStart w:id="697" w:name="Tc_l6NlaEiX_Ue48XvxQ5nFbA_6_0"/>
      <w:bookmarkStart w:id="698" w:name="Tc_59zNSUq2lUyk7v6vBSkPiQ_5_5"/>
      <w:bookmarkStart w:id="699" w:name="Tc_dNRa64wpYEWH66NOBxqQPw_5_2"/>
      <w:bookmarkStart w:id="700" w:name="Tc_ZIl6OnEVPU2wYsqeEwQelw_5_0"/>
      <w:bookmarkStart w:id="701" w:name="Tc_PsoLutMH0UiuknkMZpCdcA_4_14"/>
      <w:bookmarkStart w:id="702" w:name="Tc_YbnG9xxhBUWrmqAHnrIb6g_4_11"/>
      <w:bookmarkStart w:id="703" w:name="Tc_g2qF2YSe50ehffk2-u-NJg_4_8"/>
      <w:bookmarkStart w:id="704" w:name="Tc_abUsKKcoeEyYt-e4Y56bHA_4_4"/>
      <w:bookmarkStart w:id="705" w:name="Tc_yW4LUhYs8kSrImKVDP1skA_4_0"/>
      <w:bookmarkStart w:id="706" w:name="Tc_0jewwTldEUKTJtRVeEHM-Q_3_5"/>
      <w:bookmarkStart w:id="707" w:name="Tc_39yiNPU40UC77km8d4AIWA_3_2"/>
      <w:bookmarkStart w:id="708" w:name="Tc_OKGw_uShp06inR8nAHbDkg_2_14"/>
      <w:bookmarkStart w:id="709" w:name="Tc_IpHUs1RTRU6tpWN1G0_0bA_2_11"/>
      <w:bookmarkStart w:id="710" w:name="Tc_sSxFAxUBrEqm9eeqU2dJiQ_2_8"/>
      <w:bookmarkStart w:id="711" w:name="Tc_sMGMfOJNkk2fKlSoZKpXZw_2_2"/>
      <w:bookmarkStart w:id="712" w:name="Tc_tHsJpDsbwUKaa8rVhL-LLw_1_14"/>
      <w:bookmarkStart w:id="713" w:name="Tc_AbqxY5qyOEe3UuAbuzoZTw_1_11"/>
      <w:bookmarkStart w:id="714" w:name="Tc_fkcOpzRObk2raGHZ18o9Ug_1_8"/>
      <w:bookmarkStart w:id="715" w:name="Tc_F3uxDmRJhUiT1uvBiPSDrQ_1_2"/>
      <w:bookmarkStart w:id="716" w:name="_0a778f41_eaa8_44c6_9bc9_936bb44077fd"/>
      <w:bookmarkStart w:id="717" w:name="Tc_dHn1vy3G6EqYtpvAv3pGQg_12_14"/>
      <w:bookmarkStart w:id="718" w:name="Tc_hBw28VbiP0OSseVepu63hQ_12_11"/>
      <w:bookmarkStart w:id="719" w:name="Tc_U5YXNMZMTEmWYNrRfTY9-w_12_8"/>
      <w:bookmarkStart w:id="720" w:name="Tc_zHBWZXybwkCDMvAN5pu95Q_12_4"/>
      <w:bookmarkStart w:id="721" w:name="Tc_gy92w7VrBUKg2lc4K6XKVw_12_0"/>
      <w:bookmarkStart w:id="722" w:name="Tc_FmgT-XcJU0KY4YcJBuJKgg_11_12"/>
      <w:bookmarkStart w:id="723" w:name="Tc_PqYc4ubKCkS5KKLgv_A-JQ_11_5"/>
      <w:bookmarkStart w:id="724" w:name="Tc_4JINhZkWJEqSd-4i7wOMpg_11_2"/>
      <w:bookmarkStart w:id="725" w:name="Tc_BRDHq1Ve1k6pI4rrlSY9-w_11_0"/>
      <w:bookmarkStart w:id="726" w:name="Tc_eEEJa8FNfUiu-4j9411cXw_10_12"/>
      <w:bookmarkStart w:id="727" w:name="Tc_jW9V8YScCE-mrcCJivdiSA_10_2"/>
      <w:bookmarkStart w:id="728" w:name="Tc_goJyU_jBxUOMXGOeCGKL_Q_10_0"/>
      <w:bookmarkStart w:id="729" w:name="Tc_6UC7MsYIm0Cga0vNly79Bw_9_12"/>
      <w:bookmarkStart w:id="730" w:name="Tc_-UsXy-kUUk-aZpyP0Xwahg_9_2"/>
      <w:bookmarkStart w:id="731" w:name="Tc_JxBznvx2Z0Wu-th4lKTlyQ_9_0"/>
      <w:bookmarkStart w:id="732" w:name="Tc_DucAkzeQ5EGKPyNgijpfIg_8_14"/>
      <w:bookmarkStart w:id="733" w:name="Tc_UtBXMkx1l0SKJOgyTNtMuw_8_11"/>
      <w:bookmarkStart w:id="734" w:name="Tc_u1HBAUT14Eq3OopjnVojwA_8_8"/>
      <w:bookmarkStart w:id="735" w:name="Tc_dojHxcgbIEC0qeF79jwsoA_8_4"/>
      <w:bookmarkStart w:id="736" w:name="Tc_thMveF7Hxk-vYShlcsgO3g_8_0"/>
      <w:bookmarkStart w:id="737" w:name="Tc_qdMcG8wsXkqmVdvlj1T_8g_7_12"/>
      <w:bookmarkStart w:id="738" w:name="Tc_JCQbezsmeEi8v-mtv41UHg_7_5"/>
      <w:bookmarkStart w:id="739" w:name="Tc_2ZCaECakj0y9A4awE-xZ9w_7_2"/>
      <w:bookmarkStart w:id="740" w:name="Tc_zPU03apSPEaAbKo_tUULfw_7_0"/>
      <w:bookmarkStart w:id="741" w:name="Tc_A9q0282LeUmEUX7N2LAdlQ_6_12"/>
      <w:bookmarkStart w:id="742" w:name="Tc_K5TJ1UJ-b0K-Pxc2I07PMQ_6_2"/>
      <w:bookmarkStart w:id="743" w:name="Tc_l6NlaEiX_Ue48XvxQ5nFbA_6_0"/>
      <w:bookmarkStart w:id="744" w:name="Tc_59zNSUq2lUyk7v6vBSkPiQ_5_5"/>
      <w:bookmarkStart w:id="745" w:name="Tc_dNRa64wpYEWH66NOBxqQPw_5_2"/>
      <w:bookmarkStart w:id="746" w:name="Tc_ZIl6OnEVPU2wYsqeEwQelw_5_0"/>
      <w:bookmarkStart w:id="747" w:name="Tc_PsoLutMH0UiuknkMZpCdcA_4_14"/>
      <w:bookmarkStart w:id="748" w:name="Tc_YbnG9xxhBUWrmqAHnrIb6g_4_11"/>
      <w:bookmarkStart w:id="749" w:name="Tc_g2qF2YSe50ehffk2-u-NJg_4_8"/>
      <w:bookmarkStart w:id="750" w:name="Tc_abUsKKcoeEyYt-e4Y56bHA_4_4"/>
      <w:bookmarkStart w:id="751" w:name="Tc_yW4LUhYs8kSrImKVDP1skA_4_0"/>
      <w:bookmarkStart w:id="752" w:name="Tc_0jewwTldEUKTJtRVeEHM-Q_3_5"/>
      <w:bookmarkStart w:id="753" w:name="Tc_39yiNPU40UC77km8d4AIWA_3_2"/>
      <w:bookmarkStart w:id="754" w:name="Tc_OKGw_uShp06inR8nAHbDkg_2_14"/>
      <w:bookmarkStart w:id="755" w:name="Tc_IpHUs1RTRU6tpWN1G0_0bA_2_11"/>
      <w:bookmarkStart w:id="756" w:name="Tc_sSxFAxUBrEqm9eeqU2dJiQ_2_8"/>
      <w:bookmarkStart w:id="757" w:name="Tc_sMGMfOJNkk2fKlSoZKpXZw_2_2"/>
      <w:bookmarkStart w:id="758" w:name="Tc_tHsJpDsbwUKaa8rVhL-LLw_1_14"/>
      <w:bookmarkStart w:id="759" w:name="Tc_AbqxY5qyOEe3UuAbuzoZTw_1_11"/>
      <w:bookmarkStart w:id="760" w:name="Tc_fkcOpzRObk2raGHZ18o9Ug_1_8"/>
      <w:bookmarkStart w:id="761" w:name="Tc_F3uxDmRJhUiT1uvBiPSDrQ_1_2"/>
      <w:bookmarkStart w:id="762" w:name="_0a778f41_eaa8_44c6_9bc9_936bb44077fd"/>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tbl>
      <w:tblPr>
        <w:tblW w:w="10195" w:type="dxa"/>
        <w:jc w:val="left"/>
        <w:tblInd w:w="0" w:type="dxa"/>
        <w:tblLayout w:type="fixed"/>
        <w:tblCellMar>
          <w:top w:w="0" w:type="dxa"/>
          <w:left w:w="0" w:type="dxa"/>
          <w:bottom w:w="0" w:type="dxa"/>
          <w:right w:w="0" w:type="dxa"/>
        </w:tblCellMar>
      </w:tblPr>
      <w:tblGrid>
        <w:gridCol w:w="2911"/>
        <w:gridCol w:w="346"/>
        <w:gridCol w:w="927"/>
        <w:gridCol w:w="129"/>
        <w:gridCol w:w="250"/>
        <w:gridCol w:w="930"/>
        <w:gridCol w:w="226"/>
        <w:gridCol w:w="226"/>
        <w:gridCol w:w="211"/>
        <w:gridCol w:w="781"/>
        <w:gridCol w:w="346"/>
        <w:gridCol w:w="340"/>
        <w:gridCol w:w="921"/>
        <w:gridCol w:w="346"/>
        <w:gridCol w:w="248"/>
        <w:gridCol w:w="1057"/>
      </w:tblGrid>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88645" cy="175260"/>
                      <wp:effectExtent l="0" t="0" r="0" b="0"/>
                      <wp:wrapNone/>
                      <wp:docPr id="56" name="Frame56"/>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81915" cy="175260"/>
                      <wp:effectExtent l="0" t="0" r="0" b="0"/>
                      <wp:wrapNone/>
                      <wp:docPr id="57" name="Frame57"/>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58750" cy="175260"/>
                      <wp:effectExtent l="0" t="0" r="0" b="0"/>
                      <wp:wrapNone/>
                      <wp:docPr id="58" name="Frame5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0550" cy="175260"/>
                      <wp:effectExtent l="0" t="0" r="0" b="0"/>
                      <wp:wrapNone/>
                      <wp:docPr id="59" name="Frame59"/>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43510" cy="175260"/>
                      <wp:effectExtent l="0" t="0" r="0" b="0"/>
                      <wp:wrapNone/>
                      <wp:docPr id="60" name="Frame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3510" cy="175260"/>
                      <wp:effectExtent l="0" t="0" r="0" b="0"/>
                      <wp:wrapNone/>
                      <wp:docPr id="61" name="Frame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95935" cy="175260"/>
                      <wp:effectExtent l="0" t="0" r="0" b="0"/>
                      <wp:wrapNone/>
                      <wp:docPr id="63" name="Frame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5900" cy="175260"/>
                      <wp:effectExtent l="0" t="0" r="0" b="0"/>
                      <wp:wrapNone/>
                      <wp:docPr id="65" name="Frame65"/>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84835" cy="175260"/>
                      <wp:effectExtent l="0" t="0" r="0" b="0"/>
                      <wp:wrapNone/>
                      <wp:docPr id="66" name="Frame66"/>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57480" cy="175260"/>
                      <wp:effectExtent l="0" t="0" r="0" b="0"/>
                      <wp:wrapNone/>
                      <wp:docPr id="68" name="Frame68"/>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71195" cy="175260"/>
                      <wp:effectExtent l="0" t="0" r="0" b="0"/>
                      <wp:wrapNone/>
                      <wp:docPr id="69" name="Frame69"/>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 Senior Preferred</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Members’</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Members’</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Membership Interests</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2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center"/>
              <w:rPr/>
            </w:pPr>
            <w:r>
              <w:rPr/>
              <w:t>​</w:t>
            </w:r>
          </w:p>
        </w:tc>
        <w:tc>
          <w:tcPr>
            <w:tcW w:w="9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center"/>
              <w:rPr/>
            </w:pPr>
            <w:r>
              <w:rPr/>
              <w:t>​</w:t>
            </w:r>
          </w:p>
        </w:tc>
        <w:tc>
          <w:tcPr>
            <w:tcW w:w="1057" w:type="dxa"/>
            <w:tcBorders/>
            <w:vAlign w:val="center"/>
          </w:tcPr>
          <w:p>
            <w:pPr>
              <w:pStyle w:val="TableContents"/>
              <w:bidi w:val="0"/>
              <w:spacing w:before="0" w:after="0"/>
              <w:ind w:left="0" w:right="0" w:hanging="0"/>
              <w:jc w:val="center"/>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203,839</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573,654</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574,730</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w:t>
            </w:r>
          </w:p>
        </w:tc>
        <w:tc>
          <w:tcPr>
            <w:tcW w:w="346"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w:t>
            </w:r>
          </w:p>
        </w:tc>
        <w:tc>
          <w:tcPr>
            <w:tcW w:w="34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w:t>
            </w:r>
          </w:p>
        </w:tc>
        <w:tc>
          <w:tcPr>
            <w:tcW w:w="34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8,394</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(8,394)</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(5,634)</w:t>
            </w:r>
          </w:p>
        </w:tc>
        <w:tc>
          <w:tcPr>
            <w:tcW w:w="346" w:type="dxa"/>
            <w:tcBorders/>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212,233</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557,259</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558,309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34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8,744</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(8,744)</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24,157</w:t>
            </w:r>
          </w:p>
        </w:tc>
        <w:tc>
          <w:tcPr>
            <w:tcW w:w="346" w:type="dxa"/>
            <w:tcBorders/>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220,398</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568,849</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569,899</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63" w:name="_84d81850_2cae_4242_8ae6_c90c723d9ef1"/>
      <w:bookmarkEnd w:id="763"/>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b/>
          <w:sz w:val="20"/>
        </w:rPr>
      </w:pPr>
      <w:bookmarkStart w:id="764" w:name="BWUltimateParentCashFlows"/>
      <w:bookmarkEnd w:id="764"/>
      <w:r>
        <w:rPr>
          <w:rFonts w:ascii="Times New Roman;Times;serif" w:hAnsi="Times New Roman;Times;serif"/>
          <w:b/>
          <w:sz w:val="20"/>
        </w:rPr>
        <w:t>Condensed Consolidated Statements of Cash Flows (Unaudited)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bookmarkStart w:id="765" w:name="YeswayIncCashFlows"/>
      <w:bookmarkEnd w:id="765"/>
      <w:r>
        <w:rPr>
          <w:rFonts w:ascii="Times New Roman;Times;serif" w:hAnsi="Times New Roman;Times;serif"/>
          <w:b/>
          <w:i/>
          <w:sz w:val="20"/>
        </w:rPr>
        <w:t>(dollars in thousands)</w:t>
      </w:r>
    </w:p>
    <w:p>
      <w:pPr>
        <w:pStyle w:val="Normal"/>
        <w:bidi w:val="0"/>
        <w:spacing w:before="0" w:after="0"/>
        <w:jc w:val="left"/>
        <w:rPr>
          <w:sz w:val="4"/>
          <w:szCs w:val="4"/>
        </w:rPr>
      </w:pPr>
      <w:r>
        <w:rPr>
          <w:sz w:val="4"/>
          <w:szCs w:val="4"/>
        </w:rPr>
      </w:r>
      <w:bookmarkStart w:id="766" w:name="Tc_F2-IrzkmRkeQEaII5x26Cg_53_5"/>
      <w:bookmarkStart w:id="767" w:name="Tc__RuQ2jl6sEG3clTvvYLAng_53_2"/>
      <w:bookmarkStart w:id="768" w:name="Tc_ocP_YyKTtECRm-7yklpkiw_53_0"/>
      <w:bookmarkStart w:id="769" w:name="Tc_pumko1l1ikq6tz3rEidisw_51_0"/>
      <w:bookmarkStart w:id="770" w:name="Tc_8GIhpJNU5Eu_yhroxWk54A_49_0"/>
      <w:bookmarkStart w:id="771" w:name="Tc_SSyorcJqxEijXhU1YT7n-Q_47_0"/>
      <w:bookmarkStart w:id="772" w:name="Tc_Z3u6NFWVYUS8ccCFMcHEsw_46_0"/>
      <w:bookmarkStart w:id="773" w:name="Tc_OwQZurn0CUSxoa72bbDNng_45_0"/>
      <w:bookmarkStart w:id="774" w:name="Tc_s1ZlNQsjgke3h98REHAEEw_44_0"/>
      <w:bookmarkStart w:id="775" w:name="Tc_ILFTpJQ4OEeG25YYRuAvig_43_0"/>
      <w:bookmarkStart w:id="776" w:name="Tc_deoRp_dn2kW_VXmfS8sjrA_42_0"/>
      <w:bookmarkStart w:id="777" w:name="Tc_CUaKM75MwUWsn3H_czjciA_41_0"/>
      <w:bookmarkStart w:id="778" w:name="Tc_HsjvdUtqL0S2Hdw7vN6EnA_40_0"/>
      <w:bookmarkStart w:id="779" w:name="Tc_Dk9khmivmU2Ctir4nUz2CQ_39_0"/>
      <w:bookmarkStart w:id="780" w:name="Tc_xUvg3ExMBkGdPcPqvRMpTQ_38_0"/>
      <w:bookmarkStart w:id="781" w:name="Tc_jCh8h-y7xkapLGJ7kZ7nlA_37_0"/>
      <w:bookmarkStart w:id="782" w:name="Tc_O7Y1a67vMkygpJFgMXd8vQ_36_0"/>
      <w:bookmarkStart w:id="783" w:name="Tc_mibojo2FBUWb7ycOaB6xKg_35_0"/>
      <w:bookmarkStart w:id="784" w:name="Tc_WtGS1BZGCkeNHUZLaKaJAg_34_0"/>
      <w:bookmarkStart w:id="785" w:name="Tc_m679PTepE0a2kW7jzEZfPA_32_0"/>
      <w:bookmarkStart w:id="786" w:name="Tc_pst7XZIUVkCBmiBA6gt75g_31_0"/>
      <w:bookmarkStart w:id="787" w:name="Tc_xiCS2RvD2UuWY8cVtHQC1A_30_0"/>
      <w:bookmarkStart w:id="788" w:name="Tc_OwMwCY-Gn0yGouXthcztLA_29_0"/>
      <w:bookmarkStart w:id="789" w:name="Tc_y-Lqb3laxU6E4gfbSYRVaQ_28_0"/>
      <w:bookmarkStart w:id="790" w:name="Tc_dRnkWPRl50eFVzl5IbuZvw_27_0"/>
      <w:bookmarkStart w:id="791" w:name="Tc_MEql405uvECTbwiw8AXL2Q_25_0"/>
      <w:bookmarkStart w:id="792" w:name="Tc_T9xJmomhtkSytzq9C5shxg_24_0"/>
      <w:bookmarkStart w:id="793" w:name="Tc_LrhFmxEyTU2dWo6veBECew_23_0"/>
      <w:bookmarkStart w:id="794" w:name="Tc_ZU8A0u2zkkeddNW_2Ek2gw_22_0"/>
      <w:bookmarkStart w:id="795" w:name="Tc__njW3XCSOUe1ijq_-cDl1Q_21_0"/>
      <w:bookmarkStart w:id="796" w:name="Tc_ExHVsEC1DEOqlngVoPFkOg_20_0"/>
      <w:bookmarkStart w:id="797" w:name="Tc_fxHyXEESqkmXejg9E1VHkg_19_0"/>
      <w:bookmarkStart w:id="798" w:name="Tc_YqL3-ysLy0isQhnlmnARCg_18_0"/>
      <w:bookmarkStart w:id="799" w:name="Tc_7nopPzK-F0aM8_3cWcMnow_17_0"/>
      <w:bookmarkStart w:id="800" w:name="Tc_BUEsA0bXzUeKJqIAAalf2A_16_0"/>
      <w:bookmarkStart w:id="801" w:name="Tc_mKjLcEgz3EKCxI0h987T_Q_15_0"/>
      <w:bookmarkStart w:id="802" w:name="Tc_yqTv2T6OEEuWjTFSl0GM2w_14_0"/>
      <w:bookmarkStart w:id="803" w:name="Tc_KFSnwyFR4kCceuxaHtNEVA_13_0"/>
      <w:bookmarkStart w:id="804" w:name="Tc_uXNErI-GzUyHTPMBbbp6Pw_12_0"/>
      <w:bookmarkStart w:id="805" w:name="Tc_jttZ8xJebUmQ7nnSirk07A_11_0"/>
      <w:bookmarkStart w:id="806" w:name="Tc_C-fVm-tExUun1BxUhx8LfA_10_0"/>
      <w:bookmarkStart w:id="807" w:name="Tc_uuJ5G20QhkumBlcZFsuPmQ_9_0"/>
      <w:bookmarkStart w:id="808" w:name="Tc_hoO-JgknhEuRjppnNkKvkQ_8_0"/>
      <w:bookmarkStart w:id="809" w:name="Tc_-b36wit8vUmaH_fuPVN4hw_7_0"/>
      <w:bookmarkStart w:id="810" w:name="Tc_EthXiqKx5UKwpK2AuzGzkQ_6_0"/>
      <w:bookmarkStart w:id="811" w:name="Tc_S0s2RrfSl0KAepa1902RiQ_5_0"/>
      <w:bookmarkStart w:id="812" w:name="Tc_0P1m8jUHLEitPid3m_7Zkw_4_0"/>
      <w:bookmarkStart w:id="813" w:name="Tc_F1bIy7ld5UycHTvs-DaPsg_3_5"/>
      <w:bookmarkStart w:id="814" w:name="Tc_wBt0mj8WekS5-T-pl6EHKg_3_2"/>
      <w:bookmarkStart w:id="815" w:name="Tc_t_to2vdKgU6S6eKqyO7NHQ_3_0"/>
      <w:bookmarkStart w:id="816" w:name="Tc_er6smQvTB0KDIPtk8-H-Bw_2_0"/>
      <w:bookmarkStart w:id="817" w:name="Tc_rvEJ4sO0S0aaUxR_oYsMrQ_1_5"/>
      <w:bookmarkStart w:id="818" w:name="Tc_BfkASOxEFUymbspRDprEig_1_2"/>
      <w:bookmarkStart w:id="819" w:name="Tc_g0kDPZOqOkes1zuonRVqKQ_1_0"/>
      <w:bookmarkStart w:id="820" w:name="_d6085081_f310_438b_9d4d_c50ce382b639"/>
      <w:bookmarkStart w:id="821" w:name="Tc_F2-IrzkmRkeQEaII5x26Cg_53_5"/>
      <w:bookmarkStart w:id="822" w:name="Tc__RuQ2jl6sEG3clTvvYLAng_53_2"/>
      <w:bookmarkStart w:id="823" w:name="Tc_ocP_YyKTtECRm-7yklpkiw_53_0"/>
      <w:bookmarkStart w:id="824" w:name="Tc_pumko1l1ikq6tz3rEidisw_51_0"/>
      <w:bookmarkStart w:id="825" w:name="Tc_8GIhpJNU5Eu_yhroxWk54A_49_0"/>
      <w:bookmarkStart w:id="826" w:name="Tc_SSyorcJqxEijXhU1YT7n-Q_47_0"/>
      <w:bookmarkStart w:id="827" w:name="Tc_Z3u6NFWVYUS8ccCFMcHEsw_46_0"/>
      <w:bookmarkStart w:id="828" w:name="Tc_OwQZurn0CUSxoa72bbDNng_45_0"/>
      <w:bookmarkStart w:id="829" w:name="Tc_s1ZlNQsjgke3h98REHAEEw_44_0"/>
      <w:bookmarkStart w:id="830" w:name="Tc_ILFTpJQ4OEeG25YYRuAvig_43_0"/>
      <w:bookmarkStart w:id="831" w:name="Tc_deoRp_dn2kW_VXmfS8sjrA_42_0"/>
      <w:bookmarkStart w:id="832" w:name="Tc_CUaKM75MwUWsn3H_czjciA_41_0"/>
      <w:bookmarkStart w:id="833" w:name="Tc_HsjvdUtqL0S2Hdw7vN6EnA_40_0"/>
      <w:bookmarkStart w:id="834" w:name="Tc_Dk9khmivmU2Ctir4nUz2CQ_39_0"/>
      <w:bookmarkStart w:id="835" w:name="Tc_xUvg3ExMBkGdPcPqvRMpTQ_38_0"/>
      <w:bookmarkStart w:id="836" w:name="Tc_jCh8h-y7xkapLGJ7kZ7nlA_37_0"/>
      <w:bookmarkStart w:id="837" w:name="Tc_O7Y1a67vMkygpJFgMXd8vQ_36_0"/>
      <w:bookmarkStart w:id="838" w:name="Tc_mibojo2FBUWb7ycOaB6xKg_35_0"/>
      <w:bookmarkStart w:id="839" w:name="Tc_WtGS1BZGCkeNHUZLaKaJAg_34_0"/>
      <w:bookmarkStart w:id="840" w:name="Tc_m679PTepE0a2kW7jzEZfPA_32_0"/>
      <w:bookmarkStart w:id="841" w:name="Tc_pst7XZIUVkCBmiBA6gt75g_31_0"/>
      <w:bookmarkStart w:id="842" w:name="Tc_xiCS2RvD2UuWY8cVtHQC1A_30_0"/>
      <w:bookmarkStart w:id="843" w:name="Tc_OwMwCY-Gn0yGouXthcztLA_29_0"/>
      <w:bookmarkStart w:id="844" w:name="Tc_y-Lqb3laxU6E4gfbSYRVaQ_28_0"/>
      <w:bookmarkStart w:id="845" w:name="Tc_dRnkWPRl50eFVzl5IbuZvw_27_0"/>
      <w:bookmarkStart w:id="846" w:name="Tc_MEql405uvECTbwiw8AXL2Q_25_0"/>
      <w:bookmarkStart w:id="847" w:name="Tc_T9xJmomhtkSytzq9C5shxg_24_0"/>
      <w:bookmarkStart w:id="848" w:name="Tc_LrhFmxEyTU2dWo6veBECew_23_0"/>
      <w:bookmarkStart w:id="849" w:name="Tc_ZU8A0u2zkkeddNW_2Ek2gw_22_0"/>
      <w:bookmarkStart w:id="850" w:name="Tc__njW3XCSOUe1ijq_-cDl1Q_21_0"/>
      <w:bookmarkStart w:id="851" w:name="Tc_ExHVsEC1DEOqlngVoPFkOg_20_0"/>
      <w:bookmarkStart w:id="852" w:name="Tc_fxHyXEESqkmXejg9E1VHkg_19_0"/>
      <w:bookmarkStart w:id="853" w:name="Tc_YqL3-ysLy0isQhnlmnARCg_18_0"/>
      <w:bookmarkStart w:id="854" w:name="Tc_7nopPzK-F0aM8_3cWcMnow_17_0"/>
      <w:bookmarkStart w:id="855" w:name="Tc_BUEsA0bXzUeKJqIAAalf2A_16_0"/>
      <w:bookmarkStart w:id="856" w:name="Tc_mKjLcEgz3EKCxI0h987T_Q_15_0"/>
      <w:bookmarkStart w:id="857" w:name="Tc_yqTv2T6OEEuWjTFSl0GM2w_14_0"/>
      <w:bookmarkStart w:id="858" w:name="Tc_KFSnwyFR4kCceuxaHtNEVA_13_0"/>
      <w:bookmarkStart w:id="859" w:name="Tc_uXNErI-GzUyHTPMBbbp6Pw_12_0"/>
      <w:bookmarkStart w:id="860" w:name="Tc_jttZ8xJebUmQ7nnSirk07A_11_0"/>
      <w:bookmarkStart w:id="861" w:name="Tc_C-fVm-tExUun1BxUhx8LfA_10_0"/>
      <w:bookmarkStart w:id="862" w:name="Tc_uuJ5G20QhkumBlcZFsuPmQ_9_0"/>
      <w:bookmarkStart w:id="863" w:name="Tc_hoO-JgknhEuRjppnNkKvkQ_8_0"/>
      <w:bookmarkStart w:id="864" w:name="Tc_-b36wit8vUmaH_fuPVN4hw_7_0"/>
      <w:bookmarkStart w:id="865" w:name="Tc_EthXiqKx5UKwpK2AuzGzkQ_6_0"/>
      <w:bookmarkStart w:id="866" w:name="Tc_S0s2RrfSl0KAepa1902RiQ_5_0"/>
      <w:bookmarkStart w:id="867" w:name="Tc_0P1m8jUHLEitPid3m_7Zkw_4_0"/>
      <w:bookmarkStart w:id="868" w:name="Tc_F1bIy7ld5UycHTvs-DaPsg_3_5"/>
      <w:bookmarkStart w:id="869" w:name="Tc_wBt0mj8WekS5-T-pl6EHKg_3_2"/>
      <w:bookmarkStart w:id="870" w:name="Tc_t_to2vdKgU6S6eKqyO7NHQ_3_0"/>
      <w:bookmarkStart w:id="871" w:name="Tc_er6smQvTB0KDIPtk8-H-Bw_2_0"/>
      <w:bookmarkStart w:id="872" w:name="Tc_rvEJ4sO0S0aaUxR_oYsMrQ_1_5"/>
      <w:bookmarkStart w:id="873" w:name="Tc_BfkASOxEFUymbspRDprEig_1_2"/>
      <w:bookmarkStart w:id="874" w:name="Tc_g0kDPZOqOkes1zuonRVqKQ_1_0"/>
      <w:bookmarkStart w:id="875" w:name="_d6085081_f310_438b_9d4d_c50ce382b639"/>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tbl>
      <w:tblPr>
        <w:tblW w:w="9577" w:type="dxa"/>
        <w:jc w:val="left"/>
        <w:tblInd w:w="0" w:type="dxa"/>
        <w:tblLayout w:type="fixed"/>
        <w:tblCellMar>
          <w:top w:w="0" w:type="dxa"/>
          <w:left w:w="0" w:type="dxa"/>
          <w:bottom w:w="0" w:type="dxa"/>
          <w:right w:w="0" w:type="dxa"/>
        </w:tblCellMar>
      </w:tblPr>
      <w:tblGrid>
        <w:gridCol w:w="6721"/>
        <w:gridCol w:w="346"/>
        <w:gridCol w:w="211"/>
        <w:gridCol w:w="901"/>
        <w:gridCol w:w="346"/>
        <w:gridCol w:w="211"/>
        <w:gridCol w:w="841"/>
      </w:tblGrid>
      <w:tr>
        <w:trPr/>
        <w:tc>
          <w:tcPr>
            <w:tcW w:w="6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72135" cy="175260"/>
                      <wp:effectExtent l="0" t="0" r="0" b="0"/>
                      <wp:wrapNone/>
                      <wp:docPr id="72" name="Frame7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34035" cy="175260"/>
                      <wp:effectExtent l="0" t="0" r="0" b="0"/>
                      <wp:wrapNone/>
                      <wp:docPr id="75" name="Frame7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59,890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18,523</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Adjustments to reconcile net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 amortization, accretion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32,609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31,208</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Amortization of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5,749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4,167</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Amortization of deferred financing cost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2,196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2,063</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Allowance for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Loss (gain) on disposal of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(2,191)</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4,708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income tax</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6,190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Change in fair value of derivative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(800)</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Changes in operating assets and liabilities,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(10,936)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(6,019)</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(6,209)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375</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Prepaid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1,338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1,347</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current assets - BTS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(7,021)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1,146</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current assets - 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(1,374)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(452)</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 payable - Fuel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24,649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(1,541)</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 payable - 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(729)</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Accrued expenses and other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(3,603)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3,534</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(2,642)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(2,127)</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(1,094)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699</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Due to/(from) 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provided by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104,925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49,232</w:t>
            </w:r>
          </w:p>
        </w:tc>
      </w:tr>
      <w:tr>
        <w:trPr/>
        <w:tc>
          <w:tcPr>
            <w:tcW w:w="6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Purchase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(35,133)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(48,149)</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Acquisition of intangible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(1,354)</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sale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618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4,020</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(2,593)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(262)</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(37,118)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(45,745)</w:t>
            </w:r>
          </w:p>
        </w:tc>
      </w:tr>
      <w:tr>
        <w:trPr/>
        <w:tc>
          <w:tcPr>
            <w:tcW w:w="6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revolver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15,000</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Repayment of revolver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(15,000)</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Repayment of borrowings from term loan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(2,050)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(2,050)</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paid for 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(599)</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financing obligation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2,489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2,868</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Repayment of financing obligation with lessors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(1,042)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(982)</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Repayment of financing leases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issuance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301,070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paid for IPO issuance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(7,338)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Distributions to redeemable senior preferred membership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(252,266)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(579)</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Distributions to members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(23,510)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(6,191)</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Distributions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(22,791)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(7,591)</w:t>
            </w:r>
          </w:p>
        </w:tc>
      </w:tr>
      <w:tr>
        <w:trPr/>
        <w:tc>
          <w:tcPr>
            <w:tcW w:w="6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Increase (decrease) in 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45,016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(4,104)</w:t>
            </w:r>
          </w:p>
        </w:tc>
      </w:tr>
      <w:tr>
        <w:trPr/>
        <w:tc>
          <w:tcPr>
            <w:tcW w:w="6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and cash equivalents,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36,592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32,720</w:t>
            </w:r>
          </w:p>
        </w:tc>
      </w:tr>
      <w:tr>
        <w:trPr/>
        <w:tc>
          <w:tcPr>
            <w:tcW w:w="6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and cash equivalents,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81,608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28,616</w:t>
            </w:r>
          </w:p>
        </w:tc>
      </w:tr>
    </w:tbl>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accompanying notes to the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876" w:name="_4da2cc4e_0fd2_4b93_a1f0_f41f6114a7d5"/>
      <w:bookmarkEnd w:id="876"/>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877" w:name="Tc_9E30loo360Gq8T3jrN66Zg_17_5"/>
      <w:bookmarkStart w:id="878" w:name="Tc_mdKoClAY10C9Vm95UizVJw_17_2"/>
      <w:bookmarkStart w:id="879" w:name="Tc_6pT6XafaTUe_kjgJU2O3-A_17_0"/>
      <w:bookmarkStart w:id="880" w:name="Tc_4rxrdEvuW0ur5EiT0umYvg_16_5"/>
      <w:bookmarkStart w:id="881" w:name="Tc_Wzj5QAjDjECyC4KxAxWJNg_16_2"/>
      <w:bookmarkStart w:id="882" w:name="Tc_6e8rzJClQ0ehLIPpH-K9sg_16_0"/>
      <w:bookmarkStart w:id="883" w:name="Tc_ASR1OPBKgEuX2PtuTa9Efg_15_5"/>
      <w:bookmarkStart w:id="884" w:name="Tc_tzVz4hP_b0uTHd0CQV4sXw_15_2"/>
      <w:bookmarkStart w:id="885" w:name="Tc_SbkllKKhk0iLqgINexGW9Q_15_0"/>
      <w:bookmarkStart w:id="886" w:name="Tc_TFK2gLtZO02-Pqep7BtyYA_14_5"/>
      <w:bookmarkStart w:id="887" w:name="Tc_Ksjog3iNzU67OGitf5m-lQ_14_2"/>
      <w:bookmarkStart w:id="888" w:name="Tc_CKeKUnp5JE60exikUpIIxw_14_0"/>
      <w:bookmarkStart w:id="889" w:name="Tc_ZYUvEB6VVk2KAsXqEbxMSw_13_2"/>
      <w:bookmarkStart w:id="890" w:name="Tc_JxM9G7PhykiNifdh5It1rA_13_0"/>
      <w:bookmarkStart w:id="891" w:name="Tc_sXGg5zbPV0uARA7EJ4nuEQ_12_5"/>
      <w:bookmarkStart w:id="892" w:name="Tc_Ku8AhffUbkmvlCYlLq7MsQ_12_2"/>
      <w:bookmarkStart w:id="893" w:name="Tc_PAHFDzhH_kanqcd9geFzgg_12_0"/>
      <w:bookmarkStart w:id="894" w:name="Tc_tS8tI7gop0WjfjNLxPmPKg_11_5"/>
      <w:bookmarkStart w:id="895" w:name="Tc_lg8_MrSFeUic9YRAosc2aw_11_2"/>
      <w:bookmarkStart w:id="896" w:name="Tc_iEbi4iZjVkCyGCCsonJTMw_11_0"/>
      <w:bookmarkStart w:id="897" w:name="Tc_22YIgtWhkEK106dx1dwPLA_10_5"/>
      <w:bookmarkStart w:id="898" w:name="Tc_V7Xqkxi5R0uG8NT_3JkaDQ_10_2"/>
      <w:bookmarkStart w:id="899" w:name="Tc_2foN89paCkaE364ncPM3CA_10_0"/>
      <w:bookmarkStart w:id="900" w:name="Tc_0ATwJKKVxk6rAMLQqU1IBg_9_5"/>
      <w:bookmarkStart w:id="901" w:name="Tc_pHj63AlONEyyH4LiCh9kpA_9_2"/>
      <w:bookmarkStart w:id="902" w:name="Tc_TBPpBqttd0y_qKVzzUy2OQ_9_0"/>
      <w:bookmarkStart w:id="903" w:name="Tc_EZBRd-Cv9EWVkkvVV6q_wQ_8_5"/>
      <w:bookmarkStart w:id="904" w:name="Tc_K7_7vj-XU0m4n01yrwCpRg_8_2"/>
      <w:bookmarkStart w:id="905" w:name="Tc_yILZrnrhiE-jstnolqmEiA_8_0"/>
      <w:bookmarkStart w:id="906" w:name="Tc_k6xnnHv5b0WitxJ6y2fcNg_7_5"/>
      <w:bookmarkStart w:id="907" w:name="Tc_36nQJ3oGSEqTacPUG8hCLg_7_2"/>
      <w:bookmarkStart w:id="908" w:name="Tc_WwYCZKhPWEKo-zsnYJkbNw_7_0"/>
      <w:bookmarkStart w:id="909" w:name="Tc_XgKhTfAa-kK-IepfAb7sOg_6_0"/>
      <w:bookmarkStart w:id="910" w:name="Tc_4I2kierduEucNOCMYZK9rw_4_5"/>
      <w:bookmarkStart w:id="911" w:name="Tc_UXxSZ3KyAkSPCo3RJdfycQ_4_2"/>
      <w:bookmarkStart w:id="912" w:name="Tc_7nfH21lG60Oo6XYNIQs-ow_4_0"/>
      <w:bookmarkStart w:id="913" w:name="Tc_770eNXFCZUe4e5EsfN12cw_3_5"/>
      <w:bookmarkStart w:id="914" w:name="Tc_D8LAK9HKjEaOEjozvWxNjA_3_2"/>
      <w:bookmarkStart w:id="915" w:name="Tc_lKMw5Xq71kazjqTKSkrn3Q_3_0"/>
      <w:bookmarkStart w:id="916" w:name="Tc_wckUFHeuvEejyU4hYGezug_2_0"/>
      <w:bookmarkStart w:id="917" w:name="Tc_wZcgKSEZ2EyTm1cGx9Nf6g_1_5"/>
      <w:bookmarkStart w:id="918" w:name="Tc_aoOMmkE1BkePNNSv4GpI2Q_1_2"/>
      <w:bookmarkStart w:id="919" w:name="Tc_uati_-K2BUGqLoPSBpZI6Q_1_0"/>
      <w:bookmarkStart w:id="920" w:name="_8a93d22a_2c32_4f6c_88d3_47707f844f57"/>
      <w:bookmarkStart w:id="921" w:name="Tc_9E30loo360Gq8T3jrN66Zg_17_5"/>
      <w:bookmarkStart w:id="922" w:name="Tc_mdKoClAY10C9Vm95UizVJw_17_2"/>
      <w:bookmarkStart w:id="923" w:name="Tc_6pT6XafaTUe_kjgJU2O3-A_17_0"/>
      <w:bookmarkStart w:id="924" w:name="Tc_4rxrdEvuW0ur5EiT0umYvg_16_5"/>
      <w:bookmarkStart w:id="925" w:name="Tc_Wzj5QAjDjECyC4KxAxWJNg_16_2"/>
      <w:bookmarkStart w:id="926" w:name="Tc_6e8rzJClQ0ehLIPpH-K9sg_16_0"/>
      <w:bookmarkStart w:id="927" w:name="Tc_ASR1OPBKgEuX2PtuTa9Efg_15_5"/>
      <w:bookmarkStart w:id="928" w:name="Tc_tzVz4hP_b0uTHd0CQV4sXw_15_2"/>
      <w:bookmarkStart w:id="929" w:name="Tc_SbkllKKhk0iLqgINexGW9Q_15_0"/>
      <w:bookmarkStart w:id="930" w:name="Tc_TFK2gLtZO02-Pqep7BtyYA_14_5"/>
      <w:bookmarkStart w:id="931" w:name="Tc_Ksjog3iNzU67OGitf5m-lQ_14_2"/>
      <w:bookmarkStart w:id="932" w:name="Tc_CKeKUnp5JE60exikUpIIxw_14_0"/>
      <w:bookmarkStart w:id="933" w:name="Tc_ZYUvEB6VVk2KAsXqEbxMSw_13_2"/>
      <w:bookmarkStart w:id="934" w:name="Tc_JxM9G7PhykiNifdh5It1rA_13_0"/>
      <w:bookmarkStart w:id="935" w:name="Tc_sXGg5zbPV0uARA7EJ4nuEQ_12_5"/>
      <w:bookmarkStart w:id="936" w:name="Tc_Ku8AhffUbkmvlCYlLq7MsQ_12_2"/>
      <w:bookmarkStart w:id="937" w:name="Tc_PAHFDzhH_kanqcd9geFzgg_12_0"/>
      <w:bookmarkStart w:id="938" w:name="Tc_tS8tI7gop0WjfjNLxPmPKg_11_5"/>
      <w:bookmarkStart w:id="939" w:name="Tc_lg8_MrSFeUic9YRAosc2aw_11_2"/>
      <w:bookmarkStart w:id="940" w:name="Tc_iEbi4iZjVkCyGCCsonJTMw_11_0"/>
      <w:bookmarkStart w:id="941" w:name="Tc_22YIgtWhkEK106dx1dwPLA_10_5"/>
      <w:bookmarkStart w:id="942" w:name="Tc_V7Xqkxi5R0uG8NT_3JkaDQ_10_2"/>
      <w:bookmarkStart w:id="943" w:name="Tc_2foN89paCkaE364ncPM3CA_10_0"/>
      <w:bookmarkStart w:id="944" w:name="Tc_0ATwJKKVxk6rAMLQqU1IBg_9_5"/>
      <w:bookmarkStart w:id="945" w:name="Tc_pHj63AlONEyyH4LiCh9kpA_9_2"/>
      <w:bookmarkStart w:id="946" w:name="Tc_TBPpBqttd0y_qKVzzUy2OQ_9_0"/>
      <w:bookmarkStart w:id="947" w:name="Tc_EZBRd-Cv9EWVkkvVV6q_wQ_8_5"/>
      <w:bookmarkStart w:id="948" w:name="Tc_K7_7vj-XU0m4n01yrwCpRg_8_2"/>
      <w:bookmarkStart w:id="949" w:name="Tc_yILZrnrhiE-jstnolqmEiA_8_0"/>
      <w:bookmarkStart w:id="950" w:name="Tc_k6xnnHv5b0WitxJ6y2fcNg_7_5"/>
      <w:bookmarkStart w:id="951" w:name="Tc_36nQJ3oGSEqTacPUG8hCLg_7_2"/>
      <w:bookmarkStart w:id="952" w:name="Tc_WwYCZKhPWEKo-zsnYJkbNw_7_0"/>
      <w:bookmarkStart w:id="953" w:name="Tc_XgKhTfAa-kK-IepfAb7sOg_6_0"/>
      <w:bookmarkStart w:id="954" w:name="Tc_4I2kierduEucNOCMYZK9rw_4_5"/>
      <w:bookmarkStart w:id="955" w:name="Tc_UXxSZ3KyAkSPCo3RJdfycQ_4_2"/>
      <w:bookmarkStart w:id="956" w:name="Tc_7nfH21lG60Oo6XYNIQs-ow_4_0"/>
      <w:bookmarkStart w:id="957" w:name="Tc_770eNXFCZUe4e5EsfN12cw_3_5"/>
      <w:bookmarkStart w:id="958" w:name="Tc_D8LAK9HKjEaOEjozvWxNjA_3_2"/>
      <w:bookmarkStart w:id="959" w:name="Tc_lKMw5Xq71kazjqTKSkrn3Q_3_0"/>
      <w:bookmarkStart w:id="960" w:name="Tc_wckUFHeuvEejyU4hYGezug_2_0"/>
      <w:bookmarkStart w:id="961" w:name="Tc_wZcgKSEZ2EyTm1cGx9Nf6g_1_5"/>
      <w:bookmarkStart w:id="962" w:name="Tc_aoOMmkE1BkePNNSv4GpI2Q_1_2"/>
      <w:bookmarkStart w:id="963" w:name="Tc_uati_-K2BUGqLoPSBpZI6Q_1_0"/>
      <w:bookmarkStart w:id="964" w:name="_8a93d22a_2c32_4f6c_88d3_47707f844f57"/>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p>
    <w:tbl>
      <w:tblPr>
        <w:tblW w:w="8887" w:type="dxa"/>
        <w:jc w:val="left"/>
        <w:tblInd w:w="0" w:type="dxa"/>
        <w:tblLayout w:type="fixed"/>
        <w:tblCellMar>
          <w:top w:w="0" w:type="dxa"/>
          <w:left w:w="0" w:type="dxa"/>
          <w:bottom w:w="0" w:type="dxa"/>
          <w:right w:w="0" w:type="dxa"/>
        </w:tblCellMar>
      </w:tblPr>
      <w:tblGrid>
        <w:gridCol w:w="6271"/>
        <w:gridCol w:w="346"/>
        <w:gridCol w:w="211"/>
        <w:gridCol w:w="781"/>
        <w:gridCol w:w="346"/>
        <w:gridCol w:w="211"/>
        <w:gridCol w:w="721"/>
      </w:tblGrid>
      <w:tr>
        <w:trPr/>
        <w:tc>
          <w:tcPr>
            <w:tcW w:w="6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95935" cy="175260"/>
                      <wp:effectExtent l="0" t="0" r="0" b="0"/>
                      <wp:wrapNone/>
                      <wp:docPr id="78" name="Frame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57835" cy="175260"/>
                      <wp:effectExtent l="0" t="0" r="0" b="0"/>
                      <wp:wrapNone/>
                      <wp:docPr id="81" name="Frame8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net of amounts capitalized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27,036</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6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 purchases in Accounts payable -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5,060</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 purchases in Accrued expenses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Right-of-use assets acquired by assumption of operating leases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60,063</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Remeasurement of lease liabilities and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retirement obligations capitalized in fixed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Accretion of Redeemable senior preferred membership interests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17,138</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to Non-controlling interests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Recapitalization of Continuing Equity Owners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585,875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Recording amounts payable pursuant to tax receivable agreement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92,263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pPr>
            <w:r>
              <w:rPr/>
              <w:t>—</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Recording deferred tax assets related to tax receivable agreement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41,627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Allocation of equity to Non-controlling interests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459,810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the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965" w:name="YeswayIncNotesToTheFS"/>
      <w:bookmarkStart w:id="966" w:name="BWUltimateParentNotestoFinancial"/>
      <w:bookmarkStart w:id="967" w:name="YeswayIncNotesToTheFS"/>
      <w:bookmarkStart w:id="968" w:name="BWUltimateParentNotestoFinancial"/>
      <w:bookmarkEnd w:id="967"/>
      <w:bookmarkEnd w:id="968"/>
    </w:p>
    <w:tbl>
      <w:tblPr>
        <w:tblW w:w="2372" w:type="dxa"/>
        <w:jc w:val="left"/>
        <w:tblInd w:w="0" w:type="dxa"/>
        <w:tblLayout w:type="fixed"/>
        <w:tblCellMar>
          <w:top w:w="0" w:type="dxa"/>
          <w:left w:w="0" w:type="dxa"/>
          <w:bottom w:w="0" w:type="dxa"/>
          <w:right w:w="0" w:type="dxa"/>
        </w:tblCellMar>
      </w:tblPr>
      <w:tblGrid>
        <w:gridCol w:w="271"/>
        <w:gridCol w:w="210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21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Description of Business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Yesway, Inc. (“Yesway”) was incorporated in Delaware on April 23, 2021. Pursuant to a reorganization into a holding company structure, Yesway is a holding company, and its principal asset is a controlling equity interest in BW Ultimate Parent, LLC (“Ultimate Parent”) as of the closing of its initial public offering (the “IPO”). As the sole managing member of Ultimate Parent, Yesway operates and controls all of the business and affairs of Ultimate Parent and, through Ultimate Parent and its subsidiaries, conducts its business.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Yesway and its subsidiaries (the “Company”) operate 450 convenience stores in nine states. The Company’s convenience stores offer a broad selection of merchandise, fuel, and other products and services designed to appeal to the convenience needs of the Company’s customers. Since inception, the Company has grown through acquisition and construction of new stores. The Company has funded its operations, acquisitions, and construction costs primarily with proceeds from funds raised by the Company and its members, the issuance of redeemable senior preferred membership interests, financing from build-to-suit landlords, as well as credit facilities from its banks.</w:t>
      </w:r>
    </w:p>
    <w:p>
      <w:pPr>
        <w:pStyle w:val="TextBody"/>
        <w:bidi w:val="0"/>
        <w:spacing w:before="0" w:after="240"/>
        <w:ind w:left="0" w:right="0" w:hanging="0"/>
        <w:jc w:val="both"/>
        <w:rPr/>
      </w:pPr>
      <w:r>
        <w:rPr/>
        <w:t>​</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IPO</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April 23, 2026, the Company completed an initial public offering by issuing 14,000,000 shares of Class A common stock (as defined below) at a price to the public of $20.00 per share. On April 27, 2026, the Company completed the sale of 2,100,000 shares of Class A common stock following the underwriters’ exercise in full of their overallotment option. From the IPO, including the exercise of the underwriters’ overallotment option, the Company received $301,070 in proceeds, net of underwriting discounts and commissions, which was used to purchase an aggregate of 16,100,000 LLC Interests of Ultimate Parent and Ultimate Parent utilized $251,523 of the net proceeds it received from the sale of LLC Interests to Yesway, Inc. to fully redeem the Redeemable Senior Preferred Member Interests.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Transactions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Company and Ultimate Parent completed a series of transactions (“Transactions”),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certificate of incorporation was amended and restated to, among other things, (i) create a class of common stock designated as Class A common stock with voting and economic rights, (ii) reclassify the existing shares of common stock into shares of Class A common stock, and (iii) create a class of common stock designated as Class B common stock, with voting rights but no economic rights.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acquired the Blocker Companies (the “Blocker Mergers”) and issued to the Blocker Shareholders 15,085,561</w:t>
            </w:r>
            <w:r>
              <w:rPr>
                <w:caps w:val="false"/>
                <w:smallCaps w:val="false"/>
              </w:rPr>
              <w:t xml:space="preserve"> </w:t>
            </w:r>
            <w:r>
              <w:rPr>
                <w:rFonts w:ascii="Times New Roman;Times;serif" w:hAnsi="Times New Roman;Times;serif"/>
                <w:b w:val="false"/>
                <w:i w:val="false"/>
                <w:caps w:val="false"/>
                <w:smallCaps w:val="false"/>
                <w:sz w:val="20"/>
              </w:rPr>
              <w:t>shares of Class A common stock of the Company, and the Blocker Companies merged with and into Yesway, Inc.’s wholly owned merger subsidiaries, with Yesway, Inc.’s merger subsidiaries surviving;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issued 32,009,185</w:t>
            </w:r>
            <w:r>
              <w:rPr>
                <w:caps w:val="false"/>
                <w:smallCaps w:val="false"/>
              </w:rPr>
              <w:t xml:space="preserve"> </w:t>
            </w:r>
            <w:r>
              <w:rPr>
                <w:rFonts w:ascii="Times New Roman;Times;serif" w:hAnsi="Times New Roman;Times;serif"/>
                <w:b w:val="false"/>
                <w:i w:val="false"/>
                <w:caps w:val="false"/>
                <w:smallCaps w:val="false"/>
                <w:sz w:val="20"/>
              </w:rPr>
              <w:t>shares of Class B common stock to the continuing equity owners of Ultimate Parent (the “Continuing Equity Owners”), which is equal to the number of LLC Interests held directly or indirectly by such Continuing Equity Owners immediately prior to the IPO;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Ultimate Parent’s limited liability agreement (“LLC Agreement”) was amended and restated to, among other things, (i) recapitalize all existing ownership interests in the Ultimate Parent into a single class of common units (“LLC Interests”), (ii) exchange all of the then existing membership interests of the holders of Ultimate Parent into LLC Interests, and (iii) appoint the Company as the sole managing member of Ultimate Parent upon its acquisition of LLC Interests.</w:t>
            </w:r>
          </w:p>
        </w:tc>
      </w:tr>
    </w:tbl>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Amended and Restated Certificate of Incorporation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Amended and Restated Certificate of Incorporation (which was filed with the Secretary of State of the State of Delaware on April 21, 2026) provides for among other things, the (i) authorization of 500,000,000 shares of Class A common stock, with a par value of $0.0001 per share (“Class A common stock”); (ii) authorization of 150,000,000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shares of Class B common stock, with a par value of $0.0001 per share (“Class B common stock”); (iii) authorization of 10,000,000 shares of preferred stock, with a par value of $0.0001 per share (“Preferred Stock”) that may be issued from time to time by the Company’s Board of Directors in one or more series; and (iv) establishment of a classified board of directors, divided into three classes, each of whose members will serve for staggered terms.</w:t>
      </w:r>
    </w:p>
    <w:p>
      <w:pPr>
        <w:pStyle w:val="TextBody"/>
        <w:bidi w:val="0"/>
        <w:spacing w:before="0" w:after="240"/>
        <w:ind w:left="0" w:right="0" w:hanging="0"/>
        <w:jc w:val="both"/>
        <w:rPr/>
      </w:pPr>
      <w:r>
        <w:rPr/>
        <w:t>​</w:t>
      </w:r>
    </w:p>
    <w:tbl>
      <w:tblPr>
        <w:tblW w:w="4142" w:type="dxa"/>
        <w:jc w:val="left"/>
        <w:tblInd w:w="0" w:type="dxa"/>
        <w:tblLayout w:type="fixed"/>
        <w:tblCellMar>
          <w:top w:w="0" w:type="dxa"/>
          <w:left w:w="0" w:type="dxa"/>
          <w:bottom w:w="0" w:type="dxa"/>
          <w:right w:w="0" w:type="dxa"/>
        </w:tblCellMar>
      </w:tblPr>
      <w:tblGrid>
        <w:gridCol w:w="271"/>
        <w:gridCol w:w="38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8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pursuant to the rules and regulations of the Securities and Exchange Commission and in accordance with accounting principles generally accepted in the United States of America (“US GAAP”) as found in the Accounting Standards Codification (“ASC”) and Accounting Standards Update (“ASU”) of the Financial Accounting Standards Board (“FASB”). Certain information and footnote disclosures normally included in financial statements prepared in accordance with U.S. GAAP have been condensed or omitted pursuant to such rules and regulations and should be read in conjunction with the Company’s latest audited annual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opinion of the Company, the accompanying unaudited Condensed Consolidated Financial Statements contain all adjustments, consisting of only normal recurring adjustments, necessary for a fair statement of its financial position as of June 30, 2026, and December 31, 2025, and its results of operations for the three and six months ended June 30, 2026, and June 30, 2025, and cash flows for the six months ended June 30, 2026, and June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include the accounts of Ultimate Parent and its subsidiaries. All of Ultimate Parent’s subsidiaries are wholly-owned with the exception of RE Energy Company, LLC (“RE Energy”), which has a non-controlling interest with the right to receive distributions related to a patronage program of RE Energy’s fuel distributor. The Company consolidates Ultimate Parent as a variable interest entity (“VIE”) in accordance with FASB ASC Topic 810, Consolidation (“ASC 810”). ASC 810 requires the consolidation of VIEs in which the entity is defined as the primary beneficiary of the VIE. To be a primary beneficiary, an entity must have the power to direct the activities of the VIE that most significantly impact the VIE’s economic performance, among other factors. The Company has assessed its variable interests in this entity and determined that the Company has the power to direct those activities. As a result, Ultimate Parent and its subsidiaries’ financial position and results of operations are consolidated in the Company’s accompanying unaudited Condensed Consolidated Balance Sheets and unaudited Condensed Consolidated Statements of Income. The assets and liabilities of Ultimate Parent represent substantially all of the consolidated assets and liabilities of Yesway, except for amounts related to the tax receivable agreement which are attributable to Yesway.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intercompany balances and transactions have been eliminated in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Non-controlling interests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non-controlling interests on the accompanying unaudited Condensed Consolidated Statements of Income primarily represent the portion of earnings attributable to the economic interest in Ultimate Parent, held by Continuing Equity Owners. As of June 30, 2026, the noncontrolling interests were 50.7%. Net income of $13,363 was allocated to this non-controlling interest during both the three months and six months ended June 30, 2026, and $0 during both the three and six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all of the Ultimate Parent’s subsidiaries are wholly owned with the exception of RE Energy Company, LLC (“RE Energy”), which has a non-controlling interest with the right to receive distributions related to a patronage program of RE Energy’s fuel distributor. Net income of $0 was allocated to non-controlling interest during both the three and six months ended June 30, 2026, and June 30, 2025.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sz w:val="20"/>
        </w:rPr>
      </w:pPr>
      <w:bookmarkStart w:id="969" w:name="Tc_hMULIjkRYEWpbuffU7kJew_6_5"/>
      <w:bookmarkStart w:id="970" w:name="Tc_auo_rUKjJEiw6_gyHAzi5g_6_2"/>
      <w:bookmarkStart w:id="971" w:name="Tc_K14uPBvz-UyKcCW6MlhXUA_6_0"/>
      <w:bookmarkStart w:id="972" w:name="Tc_2flRRMxY4kKCZN9HmKh_iA_5_0"/>
      <w:bookmarkStart w:id="973" w:name="Tc_qYKa4U0-O0mk9SoUY6VyLg_4_0"/>
      <w:bookmarkStart w:id="974" w:name="Tc_Y2XsMryijkuijDimFcVloA_3_0"/>
      <w:bookmarkStart w:id="975" w:name="Tc_QsSDjdem3UCvaKjEVv0arg_2_5"/>
      <w:bookmarkStart w:id="976" w:name="Tc_4rye-y5wQ0qTQJRukmIxHA_2_2"/>
      <w:bookmarkStart w:id="977" w:name="Tc_jvWias4xZEqoqJuV3p-6wQ_2_0"/>
      <w:bookmarkStart w:id="978" w:name="Tc_MRadpsyaGUCH-sLrcs06nA_1_5"/>
      <w:bookmarkStart w:id="979" w:name="Tc_dwW6I7Yl60CtuQ_8iI8V8Q_1_2"/>
      <w:bookmarkEnd w:id="969"/>
      <w:bookmarkEnd w:id="970"/>
      <w:bookmarkEnd w:id="971"/>
      <w:bookmarkEnd w:id="972"/>
      <w:bookmarkEnd w:id="973"/>
      <w:bookmarkEnd w:id="974"/>
      <w:bookmarkEnd w:id="975"/>
      <w:bookmarkEnd w:id="976"/>
      <w:bookmarkEnd w:id="977"/>
      <w:bookmarkEnd w:id="978"/>
      <w:bookmarkEnd w:id="979"/>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Among the estimates made by management are (i) estimated fair value of assets and liabilities acquired in a business combination or asset acquisition and identification of goodwill and intangible assets, (ii) assumptions used to evaluate goodwill, (iii) assumptions used to evaluate property and equipment and intangible assets for impairment, (iv) assumptions used to determine the fair value of leased properties, (v) accruals and contingent liabilities, and (vi) fair value of derivatives.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the Company believes its estimates are reasonable, actual results could differ from these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are comprised of cash and investments with original maturity dates of three months or less at the time of purchase to be cash equivalents. The carrying value of cash and cash equivalents approximates fair value.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and allowance for credit losses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Below is a summary of the receivable values at June 30, 2026, and December 31, 2025, with a beginning balance at January 1, 2025, for the amount of $22,128:</w:t>
      </w:r>
    </w:p>
    <w:p>
      <w:pPr>
        <w:pStyle w:val="TextBody"/>
        <w:bidi w:val="0"/>
        <w:spacing w:before="0" w:after="0"/>
        <w:ind w:left="0" w:right="0" w:hanging="0"/>
        <w:jc w:val="left"/>
        <w:rPr/>
      </w:pPr>
      <w:r>
        <w:rPr/>
        <w:t>​</w:t>
      </w:r>
    </w:p>
    <w:tbl>
      <w:tblPr>
        <w:tblW w:w="5735" w:type="dxa"/>
        <w:jc w:val="left"/>
        <w:tblInd w:w="0" w:type="dxa"/>
        <w:tblLayout w:type="fixed"/>
        <w:tblCellMar>
          <w:top w:w="0" w:type="dxa"/>
          <w:left w:w="0" w:type="dxa"/>
          <w:bottom w:w="0" w:type="dxa"/>
          <w:right w:w="0" w:type="dxa"/>
        </w:tblCellMar>
      </w:tblPr>
      <w:tblGrid>
        <w:gridCol w:w="2371"/>
        <w:gridCol w:w="346"/>
        <w:gridCol w:w="267"/>
        <w:gridCol w:w="859"/>
        <w:gridCol w:w="346"/>
        <w:gridCol w:w="325"/>
        <w:gridCol w:w="1221"/>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505585" cy="175260"/>
                      <wp:effectExtent l="0" t="0" r="0" b="0"/>
                      <wp:wrapNone/>
                      <wp:docPr id="82" name="Frame82"/>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69545" cy="175260"/>
                      <wp:effectExtent l="0" t="0" r="0" b="0"/>
                      <wp:wrapNone/>
                      <wp:docPr id="84" name="Frame8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45465" cy="175260"/>
                      <wp:effectExtent l="0" t="0" r="0" b="0"/>
                      <wp:wrapNone/>
                      <wp:docPr id="85" name="Frame85"/>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6375" cy="175260"/>
                      <wp:effectExtent l="0" t="0" r="0" b="0"/>
                      <wp:wrapNone/>
                      <wp:docPr id="87" name="Frame87"/>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75335" cy="175260"/>
                      <wp:effectExtent l="0" t="0" r="0" b="0"/>
                      <wp:wrapNone/>
                      <wp:docPr id="88" name="Frame88"/>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34,791</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23,707</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Lottery accounts receivable</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417</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395</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35,465</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24,538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30, 2026, and December 31, 2025, all of the Company’s accounts receivable were classified as current assets and there were no non-standard payment terms.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Inventories primarily consist of merchandise in the Company’s stores and fuel. Merchandise is stated at the lower of cost or market using the average retail method. Fuel inventories use a weighted-average cost using the first-in, first-out method. The Company also carries supply and equipment parts inventory necessary to keep store facilities and equipment in working order.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assure valuation at the lower of cost or market for merchandise, the retail value of inventory is adjusted on a consistent basis to reflect current market conditions. These adjustments include increases in the retail value of inventory for initial markups to set the selling price of goods or additional markups to adjust pricing for inflation and decreases to the retail value of inventory for markdowns associated with promotional, seasonal, or other declines in the market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these adjustments are made on a consistent basis and are based on current prevailing market conditions, they approximate the carrying value of the inventory at market. Therefore, after applying the cost to retail ratio, the cost value of inventory is stated at the lower of cost or market.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bookmarkStart w:id="980" w:name="Tc_SOO-gpTd4kelTFRyWK1rwg_5_0"/>
      <w:bookmarkStart w:id="981" w:name="Tc_bRlA7iPHAUi5bs-xQJBTKQ_4_2"/>
      <w:bookmarkStart w:id="982" w:name="Tc_T396Uuv2XEiY24seLf_HSA_4_0"/>
      <w:bookmarkStart w:id="983" w:name="Tc_IBBDTz2Ja0aE47-Cl4TMCA_3_0"/>
      <w:bookmarkStart w:id="984" w:name="Tc_cyhxiB1Lm0a9YZMhO7h_6A_2_2"/>
      <w:bookmarkStart w:id="985" w:name="Tc_Wllz2O0ugkSEUaLPW_CK5A_2_0"/>
      <w:bookmarkStart w:id="986" w:name="Tc_AerFiLG-sEq29024yGn6-A_1_2"/>
      <w:bookmarkStart w:id="987" w:name="Tc_QVv9qopNA0yBk4254l0WPw_1_0"/>
      <w:bookmarkStart w:id="988" w:name="Tc_zcbbbN9IaEq6gdgd8_MZJg_4_5"/>
      <w:bookmarkStart w:id="989" w:name="Tc_IS04lHELakS1MQ1077WwiA_4_2"/>
      <w:bookmarkStart w:id="990" w:name="Tc_O6qTXHauWUiNj6KPW0jBWg_4_0"/>
      <w:bookmarkStart w:id="991" w:name="Tc_MEzFFUDdyUiSTI58oa0nJw_3_0"/>
      <w:bookmarkStart w:id="992" w:name="Tc_KsUNEQg_7EySPW3K_m_UvA_2_5"/>
      <w:bookmarkStart w:id="993" w:name="Tc_8Ve30h_VFUiKQr6fTUNlQA_2_2"/>
      <w:bookmarkStart w:id="994" w:name="Tc_Iac3rpNZek2u00IzjjjivA_2_0"/>
      <w:bookmarkStart w:id="995" w:name="Tc_DCpnoEhKAEKBuoGZs4n1rw_1_5"/>
      <w:bookmarkStart w:id="996" w:name="Tc_8LbFG4QSkkayy_0BRDF2Xg_1_2"/>
      <w:bookmarkStart w:id="997" w:name="Tc_tYYsTG2ch0WasmgC_gnU3Q_4_5"/>
      <w:bookmarkStart w:id="998" w:name="Tc_v5KS9zwcj0mddQPym12uGA_4_2"/>
      <w:bookmarkStart w:id="999" w:name="Tc_e1ok5IU-eU-CAjtq03UIDw_4_0"/>
      <w:bookmarkStart w:id="1000" w:name="Tc_65_bd4hArEu8_eZA0nfTlA_3_0"/>
      <w:bookmarkStart w:id="1001" w:name="Tc_E-MR4xtIEkukH9SKga3Qzw_2_5"/>
      <w:bookmarkStart w:id="1002" w:name="Tc_bxWEgz5sqU2bJEtHGgJfwg_2_2"/>
      <w:bookmarkStart w:id="1003" w:name="Tc_UqFy5PDHVkmHSfdfJ1EQ1w_2_0"/>
      <w:bookmarkStart w:id="1004" w:name="Tc_j7eznVkSl021eSPTmS4W0w_1_5"/>
      <w:bookmarkStart w:id="1005" w:name="Tc_MMJ8PegjlUOX8L8hPWdEtA_1_2"/>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r>
        <w:rPr>
          <w:rFonts w:ascii="Times New Roman;Times;serif" w:hAnsi="Times New Roman;Times;serif"/>
          <w:sz w:val="20"/>
        </w:rPr>
        <w:t>Inventories consist of the following:</w:t>
      </w:r>
    </w:p>
    <w:p>
      <w:pPr>
        <w:pStyle w:val="TextBody"/>
        <w:bidi w:val="0"/>
        <w:spacing w:before="0" w:after="0"/>
        <w:ind w:left="0" w:right="0" w:hanging="0"/>
        <w:jc w:val="left"/>
        <w:rPr/>
      </w:pPr>
      <w:r>
        <w:rPr/>
        <w:t>​</w:t>
      </w:r>
    </w:p>
    <w:tbl>
      <w:tblPr>
        <w:tblW w:w="4940" w:type="dxa"/>
        <w:jc w:val="left"/>
        <w:tblInd w:w="0" w:type="dxa"/>
        <w:tblLayout w:type="fixed"/>
        <w:tblCellMar>
          <w:top w:w="0" w:type="dxa"/>
          <w:left w:w="0" w:type="dxa"/>
          <w:bottom w:w="0" w:type="dxa"/>
          <w:right w:w="0" w:type="dxa"/>
        </w:tblCellMar>
      </w:tblPr>
      <w:tblGrid>
        <w:gridCol w:w="1576"/>
        <w:gridCol w:w="346"/>
        <w:gridCol w:w="267"/>
        <w:gridCol w:w="859"/>
        <w:gridCol w:w="346"/>
        <w:gridCol w:w="325"/>
        <w:gridCol w:w="122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000760" cy="175260"/>
                      <wp:effectExtent l="0" t="0" r="0" b="0"/>
                      <wp:wrapNone/>
                      <wp:docPr id="89" name="Frame89"/>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69545" cy="175260"/>
                      <wp:effectExtent l="0" t="0" r="0" b="0"/>
                      <wp:wrapNone/>
                      <wp:docPr id="91" name="Frame9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45465" cy="175260"/>
                      <wp:effectExtent l="0" t="0" r="0" b="0"/>
                      <wp:wrapNone/>
                      <wp:docPr id="92" name="Frame92"/>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6375" cy="175260"/>
                      <wp:effectExtent l="0" t="0" r="0" b="0"/>
                      <wp:wrapNone/>
                      <wp:docPr id="94" name="Frame94"/>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75335" cy="175260"/>
                      <wp:effectExtent l="0" t="0" r="0" b="0"/>
                      <wp:wrapNone/>
                      <wp:docPr id="95" name="Frame95"/>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25,776</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21,097</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Merchandise</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63,604</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62,074</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89,380</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83,171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the approximation of market under the retail inventory method is based on estimates such as markups, markdowns, and inventory losses (shrink), there exists an inherent uncertainty in the final determination of inventory cost and gross margin. In order to mitigate that uncertainty, the Company performs quarterly physical counts at all locations and has a formal review by product class which considers variables such as current market trends, seasonality, weather patterns, and age of merchandise to ensure that markdowns are taken currently, or a markdown reserve is established to cover future anticipated markdowns. This review also considers current pricing trends and inflation to ensure that markups are taken, if necessary.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establishes inventory reserves to record its inventory at the lower of cost or net realizable value. A portion of the inventory reserves represent an amount for excess and slow-moving inventory on hand that is expected to be written off or otherwise disposed of below cost at a future date. The Company’s estimate of the appropriate amount of the excess and slow-moving inventory reserve utilizes certain inputs and involves judgment. The inventory reserve was $950 at both June 30, 2026, and December 31, 2025, which is included in Inventories in the accompanying unaudited Condensed Consolidated Balance Sheets.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current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accounts for costs incurred for construction-in-progress under build-to-suit sale-leaseback arrangements (“BTS Arrangements”) within Other current assets in the accompanying unaudited Condensed Consolidated Balance Sheets. The costs consist primarily of payments made by the Company to purchase assets where the Landlords are the accounting owner. The costs are expected to be reimbursed by the Landlords throughout the construction period.</w:t>
      </w:r>
    </w:p>
    <w:p>
      <w:pPr>
        <w:pStyle w:val="TextBody"/>
        <w:bidi w:val="0"/>
        <w:spacing w:before="0" w:after="0"/>
        <w:ind w:left="0" w:right="0" w:hanging="0"/>
        <w:jc w:val="left"/>
        <w:rPr/>
      </w:pPr>
      <w:r>
        <w:rPr/>
        <w:t>​</w:t>
      </w:r>
    </w:p>
    <w:tbl>
      <w:tblPr>
        <w:tblW w:w="7115" w:type="dxa"/>
        <w:jc w:val="left"/>
        <w:tblInd w:w="0" w:type="dxa"/>
        <w:tblLayout w:type="fixed"/>
        <w:tblCellMar>
          <w:top w:w="0" w:type="dxa"/>
          <w:left w:w="0" w:type="dxa"/>
          <w:bottom w:w="0" w:type="dxa"/>
          <w:right w:w="0" w:type="dxa"/>
        </w:tblCellMar>
      </w:tblPr>
      <w:tblGrid>
        <w:gridCol w:w="3751"/>
        <w:gridCol w:w="346"/>
        <w:gridCol w:w="267"/>
        <w:gridCol w:w="859"/>
        <w:gridCol w:w="346"/>
        <w:gridCol w:w="325"/>
        <w:gridCol w:w="1221"/>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381885" cy="175260"/>
                      <wp:effectExtent l="0" t="0" r="0" b="0"/>
                      <wp:wrapNone/>
                      <wp:docPr id="96" name="Frame96"/>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69545" cy="175260"/>
                      <wp:effectExtent l="0" t="0" r="0" b="0"/>
                      <wp:wrapNone/>
                      <wp:docPr id="98" name="Frame9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45465" cy="175260"/>
                      <wp:effectExtent l="0" t="0" r="0" b="0"/>
                      <wp:wrapNone/>
                      <wp:docPr id="99" name="Frame99"/>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6375" cy="175260"/>
                      <wp:effectExtent l="0" t="0" r="0" b="0"/>
                      <wp:wrapNone/>
                      <wp:docPr id="101" name="Frame101"/>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75335" cy="175260"/>
                      <wp:effectExtent l="0" t="0" r="0" b="0"/>
                      <wp:wrapNone/>
                      <wp:docPr id="102" name="Frame102"/>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BTS Arrangements - construction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17,373</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10,352</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4,257</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21,630</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13,235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Property and equipment are carried at cost, less accumulated depreciation, amortization, and accretion. Depreciation, amortization, and accretion are computed using the straight-line method over the estimated useful lives of the assets. Leasehold improvements and other assets at leased locations are amortized over the shorter of the estimated useful lives of the assets or the term of the lease. Useful lives for assets are as follows:</w:t>
      </w:r>
    </w:p>
    <w:p>
      <w:pPr>
        <w:pStyle w:val="TextBody"/>
        <w:bidi w:val="0"/>
        <w:spacing w:before="0" w:after="240"/>
        <w:ind w:left="0" w:right="0" w:hanging="0"/>
        <w:jc w:val="both"/>
        <w:rPr/>
      </w:pPr>
      <w:r>
        <w:rPr/>
        <w:t>​</w:t>
      </w:r>
    </w:p>
    <w:tbl>
      <w:tblPr>
        <w:tblW w:w="5683" w:type="dxa"/>
        <w:jc w:val="left"/>
        <w:tblInd w:w="0" w:type="dxa"/>
        <w:tblLayout w:type="fixed"/>
        <w:tblCellMar>
          <w:top w:w="0" w:type="dxa"/>
          <w:left w:w="0" w:type="dxa"/>
          <w:bottom w:w="0" w:type="dxa"/>
          <w:right w:w="0" w:type="dxa"/>
        </w:tblCellMar>
      </w:tblPr>
      <w:tblGrid>
        <w:gridCol w:w="2476"/>
        <w:gridCol w:w="346"/>
        <w:gridCol w:w="2861"/>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572260" cy="175260"/>
                      <wp:effectExtent l="0" t="0" r="0" b="0"/>
                      <wp:wrapNone/>
                      <wp:docPr id="103" name="Frame103"/>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816735" cy="175260"/>
                      <wp:effectExtent l="0" t="0" r="0" b="0"/>
                      <wp:wrapNone/>
                      <wp:docPr id="105" name="Frame105"/>
                      <a:graphic xmlns:a="http://schemas.openxmlformats.org/drawingml/2006/main">
                        <a:graphicData uri="http://schemas.microsoft.com/office/word/2010/wordprocessingShape">
                          <wps:wsp>
                            <wps:cNvSpPr txBox="1"/>
                            <wps:spPr>
                              <a:xfrm>
                                <a:off x="0" y="0"/>
                                <a:ext cx="181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Category</w:t>
            </w:r>
          </w:p>
        </w:tc>
        <w:tc>
          <w:tcPr>
            <w:tcW w:w="346" w:type="dxa"/>
            <w:tcBorders/>
            <w:vAlign w:val="center"/>
          </w:tcPr>
          <w:p>
            <w:pPr>
              <w:pStyle w:val="TableContents"/>
              <w:bidi w:val="0"/>
              <w:spacing w:before="0" w:after="0"/>
              <w:ind w:left="0" w:right="0" w:hanging="0"/>
              <w:jc w:val="left"/>
              <w:rPr/>
            </w:pPr>
            <w:r>
              <w:rPr/>
              <w:t>  ​ ​ ​</w:t>
            </w:r>
          </w:p>
        </w:tc>
        <w:tc>
          <w:tcPr>
            <w:tcW w:w="28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346" w:type="dxa"/>
            <w:tcBorders/>
            <w:shd w:fill="CCEEFF" w:val="clear"/>
            <w:vAlign w:val="center"/>
          </w:tcPr>
          <w:p>
            <w:pPr>
              <w:pStyle w:val="TableContents"/>
              <w:bidi w:val="0"/>
              <w:spacing w:before="0" w:after="0"/>
              <w:ind w:left="0" w:right="0" w:hanging="0"/>
              <w:jc w:val="left"/>
              <w:rPr/>
            </w:pPr>
            <w:r>
              <w:rPr/>
              <w:t> </w:t>
            </w:r>
          </w:p>
        </w:tc>
        <w:tc>
          <w:tcPr>
            <w:tcW w:w="2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 years</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vAlign w:val="center"/>
          </w:tcPr>
          <w:p>
            <w:pPr>
              <w:pStyle w:val="TableContents"/>
              <w:bidi w:val="0"/>
              <w:spacing w:before="0" w:after="0"/>
              <w:ind w:left="0" w:right="0" w:hanging="0"/>
              <w:jc w:val="left"/>
              <w:rPr/>
            </w:pPr>
            <w:r>
              <w:rPr/>
              <w:t> </w:t>
            </w:r>
          </w:p>
        </w:tc>
        <w:tc>
          <w:tcPr>
            <w:tcW w:w="2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 years</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Tanks</w:t>
            </w:r>
          </w:p>
        </w:tc>
        <w:tc>
          <w:tcPr>
            <w:tcW w:w="346" w:type="dxa"/>
            <w:tcBorders/>
            <w:shd w:fill="CCEEFF" w:val="clear"/>
            <w:vAlign w:val="center"/>
          </w:tcPr>
          <w:p>
            <w:pPr>
              <w:pStyle w:val="TableContents"/>
              <w:bidi w:val="0"/>
              <w:spacing w:before="0" w:after="0"/>
              <w:ind w:left="0" w:right="0" w:hanging="0"/>
              <w:jc w:val="left"/>
              <w:rPr/>
            </w:pPr>
            <w:r>
              <w:rPr/>
              <w:t>​</w:t>
            </w:r>
          </w:p>
        </w:tc>
        <w:tc>
          <w:tcPr>
            <w:tcW w:w="2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Lesser of lease term or 40 years</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0"/>
              <w:ind w:left="0" w:right="0" w:hanging="0"/>
              <w:jc w:val="left"/>
              <w:rPr/>
            </w:pPr>
            <w:r>
              <w:rPr/>
              <w:t> </w:t>
            </w:r>
          </w:p>
        </w:tc>
        <w:tc>
          <w:tcPr>
            <w:tcW w:w="2861" w:type="dxa"/>
            <w:tcBorders/>
            <w:vAlign w:val="center"/>
          </w:tcPr>
          <w:p>
            <w:pPr>
              <w:pStyle w:val="TableContents"/>
              <w:bidi w:val="0"/>
              <w:spacing w:before="0" w:after="0"/>
              <w:ind w:left="0" w:right="7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Lesser of lease term or useful life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and disposal of long-lived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FASB ASC 360, </w:t>
      </w:r>
      <w:r>
        <w:rPr>
          <w:rFonts w:ascii="Times New Roman;Times;serif" w:hAnsi="Times New Roman;Times;serif"/>
          <w:i/>
          <w:sz w:val="20"/>
        </w:rPr>
        <w:t>Property, Plant and Equipment</w:t>
      </w:r>
      <w:r>
        <w:rPr>
          <w:rFonts w:ascii="Times New Roman;Times;serif" w:hAnsi="Times New Roman;Times;serif"/>
          <w:sz w:val="20"/>
        </w:rPr>
        <w:t xml:space="preserve">, addresses the reporting for the impairment or disposal of long-lived assets and does not apply to goodwill or intangible assets that are not being amortized and certain other long-lived assets. The Company has long-lived assets, primarily consisting of real property and improvements thereon, underground storage tanks, dispensing equipment, other personal property, and right-of-use assets. The Company evaluates intangible and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tangible assets whenever events or changes in circumstances indicate that the carrying amount of the asset may not be recoverable.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monitors closed and underperforming stores for an indication that the carrying amount of assets may not be recoverable. If the sum of the expected future undiscounted cash flows is less than the carrying amount of the assets, an impairment loss is recognized to the extent the carrying value of the assets exceeds their estimated fair value. Fair value is based on management’s estimate of the amount that could be realized from the sale of assets in a current transaction between willing parties. The estimate is derived from offers, actual sale or disposition of assets subsequent to year end, and other indicators of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determining whether an asset is impaired, assets are grouped at the lowest level for which there are identifiable cash flows that are largely independent of the cash flows of other groups of assets, which for the Company is generally on a store-by-store basis.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Goodwill represents the excess of purchase price over the fair value of net tangible and identifiable intangible assets of businesses acquired. The Company performs an annual impairment test of its goodwill unless interim indicators of impairment exist. The testing of goodwill for impairment is performed at a level referred to as a reporting unit. A reporting unit is either the “operating segment level” or one level below, which is referred to as a “component.” The level at which the impairment test is performed requires an assessment as to whether the operations below the operating segment constitute a self-sustaining business, in which case testing is generally required to be performed at this level. The Company has determined that it has one operating segment and one reporting unit. The Company’s annual impairment testing date is October 1 of each fiscal year. US GAAP permits entities to first assess qualitative factors to determine whether it is more likely than not that the fair value of a reporting unit is less than its carrying amount, as a basis for determining whether it is necessary to perform the quantitative impairment test. An impairment loss is recognized in an amount equal to the excess of the reporting unit’s carrying value over its fair value, up to the amount of goodwill allocated to the reporting unit. At June 30, 2026, there were no triggering events.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Assets Held for Sale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classifies assets and liabilities as held for sale when the below conditions are satisfied:</w:t>
      </w:r>
    </w:p>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approved and committed to a plan to sell the assets or disposal group.</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or disposal group is available for immediate sale in its present condition.</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program to locate a buyer and other actions required to complete the sale have been initiated.</w:t>
            </w:r>
          </w:p>
        </w:tc>
      </w:tr>
    </w:tbl>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asset or disposal group is probable and expected to be completed within one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or disposal group is being actively marketed for sale at a price that is reasonable in relation to its current fair value.</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unlikely that significant changes to the plan will be made or that the plan will be withdrawn.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assets and liabilities are classified as non-current when proceeds are expected to be used to re-pay long-term debt. The Company initially measures a long-lived asset or disposal group that is classified as held for sale at the lower of its carrying value or fair value less any costs to sell and recognize any loss in the period in which the held for sale criteria are met. Gains are not recognized until the date of sale. The Company ceases depreciation and amortization of assets within a disposal group, upon their designation as held for sale and subsequently assesses fair value less any costs to sell at each reporting date until the asset or disposal group is no longer classified as held for sale.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Self-insurance reserves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self-insures its health and dental benefits offered to its employees. To mitigate the risk of self-insured healthcare claims costs, the Company purchased stop-loss insurance that shifts the financial liability back to the insurance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bookmarkStart w:id="1006" w:name="Tc_wlWa710XqUCe-pepGwh7WA_7_11"/>
      <w:bookmarkStart w:id="1007" w:name="Tc_OartPWcyc0aqZMvZzuPH1Q_7_8"/>
      <w:bookmarkStart w:id="1008" w:name="Tc_1Plc78nkJkGpuM5MdfzgeQ_7_5"/>
      <w:bookmarkStart w:id="1009" w:name="Tc_Q-H4XqRnZEy5UPUhWcVJjQ_7_2"/>
      <w:bookmarkStart w:id="1010" w:name="Tc_1Dz6WztiDEek8d4CB5rNKA_7_0"/>
      <w:bookmarkStart w:id="1011" w:name="Tc_PDVNLkeZXUG3imjgAH3SyQ_6_0"/>
      <w:bookmarkStart w:id="1012" w:name="Tc_ed5yN8EmGUiKAun3waDu6g_5_0"/>
      <w:bookmarkStart w:id="1013" w:name="Tc_6zMOfpMfFUaPz3P48ZAwog_4_11"/>
      <w:bookmarkStart w:id="1014" w:name="Tc_vXHjyBom7Uyn3eeO8oF8-Q_4_8"/>
      <w:bookmarkStart w:id="1015" w:name="Tc_KwLh7tMMSE-uyu9X7a4xMQ_4_5"/>
      <w:bookmarkStart w:id="1016" w:name="Tc_-QbwcUSF102TDSfVK5EzBA_4_2"/>
      <w:bookmarkStart w:id="1017" w:name="Tc_mVkMS9toTUSEWjqm3ndu3A_4_0"/>
      <w:bookmarkStart w:id="1018" w:name="Tc_6ln-jyUxoUCbZMdGeEtQ3A_3_11"/>
      <w:bookmarkStart w:id="1019" w:name="Tc_WKgSdHOfD0ekSJWwPJFnWA_3_8"/>
      <w:bookmarkStart w:id="1020" w:name="Tc_K7TBZY-DkEqy8h7EKyqRAQ_3_5"/>
      <w:bookmarkStart w:id="1021" w:name="Tc_JUYKgbhufE-MzDRREnrqJA_3_2"/>
      <w:bookmarkStart w:id="1022" w:name="Tc_f4QEFkYjsEa4gGVwLcUzmw_2_8"/>
      <w:bookmarkStart w:id="1023" w:name="Tc_OfLXhWAXmkKxWvc4Y9h4Hg_2_2"/>
      <w:bookmarkStart w:id="1024" w:name="Tc__UzQPYzkrU-mgJTDdH5UUA_1_8"/>
      <w:bookmarkStart w:id="1025" w:name="Tc_I2QcNc-VDESY_SpYQfw2Yg_1_2"/>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r>
        <w:rPr>
          <w:rFonts w:ascii="Times New Roman;Times;serif" w:hAnsi="Times New Roman;Times;serif"/>
          <w:sz w:val="20"/>
        </w:rPr>
        <w:t>provider if specific claim and expense amounts are in excess of $200. The self-insurance reserve is determined actuarially at each quarter end based on claims filed and an estimate of claims incurred but not yet reported. At June 30, 2026, and December 31, 2025, self-insurance reserves of $2,627 and $3,904 respectively, are included in Accrued expenses and other current liabilities in the accompanying unaudited Condensed Consolidated Balance Sheets. The Company recorded expenses totaling $2,143 and $5,378 related to self-insured health care claims during the three and six months ended June 30, 2026, respectively, and $2,295 and $4,303 for the three and six months ended June 30, 2025, respectively, which are recorded in Selling, general, and administrative expenses in the accompanying unaudited Condensed Consolidated Statements of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Self-insurance reserves were made for estimated liabilities associated with workers’ compensation and general liability. The reserve estimate is based on an actuarial evaluation of the Company’s history of claims, industry benchmark factors, and specific event analysis. At June 30, 2026, and December 31, 2025, self-insurance reserves of $6,488 and $5,550, respectively, for workers’ compensation and general liability reserve on a discounted basis are included in Accrued expenses and other current liabilities in the accompanying unaudited Condensed Consolidated Balance Sheets.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Point in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retail sales of fuel and merchandise at the point in time of the sale to the customer when goods or services are exchanged for legal tender as the performance obligation has been satisfied. Sales taxes collected from customers and remitted to the government are recorded on a net basis in the accompanying unaudited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evaluates whether it is a principal or an agent in a transaction to determine whether revenue should be recorded on a gross or a net basis. In performing this analysis, the Company considers first whether it controls the goods before they are transferred to the customers and if it has the ability to direct the use of the goods or obtain benefits from them. The Company also considers the following indicators: (1) the primary obligor, (2) the latitude in establishing prices and selecting suppliers, and (3) the inventory risk borne by the Company before and after the goods have been transferred to the customer. When the Company acts as principal, revenue is recorded on a gross basis. When the Company acts as an agent, revenue is recorded on a net basis. The Company recognizes commissions and other service fees on the sale of lottery and gaming products, at the point in time of the sale to the customer.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disaggregates the Company’s revenue by major source for the three and six months ended June 30, 2026, and June 30, 2025:</w:t>
      </w:r>
    </w:p>
    <w:p>
      <w:pPr>
        <w:pStyle w:val="TextBody"/>
        <w:bidi w:val="0"/>
        <w:spacing w:before="0" w:after="240"/>
        <w:ind w:left="0" w:right="0" w:hanging="0"/>
        <w:jc w:val="both"/>
        <w:rPr/>
      </w:pPr>
      <w:r>
        <w:rPr/>
        <w:t>​</w:t>
      </w:r>
    </w:p>
    <w:tbl>
      <w:tblPr>
        <w:tblW w:w="7646" w:type="dxa"/>
        <w:jc w:val="left"/>
        <w:tblInd w:w="0" w:type="dxa"/>
        <w:tblLayout w:type="fixed"/>
        <w:tblCellMar>
          <w:top w:w="0" w:type="dxa"/>
          <w:left w:w="0" w:type="dxa"/>
          <w:bottom w:w="0" w:type="dxa"/>
          <w:right w:w="0" w:type="dxa"/>
        </w:tblCellMar>
      </w:tblPr>
      <w:tblGrid>
        <w:gridCol w:w="2116"/>
        <w:gridCol w:w="346"/>
        <w:gridCol w:w="211"/>
        <w:gridCol w:w="781"/>
        <w:gridCol w:w="346"/>
        <w:gridCol w:w="211"/>
        <w:gridCol w:w="781"/>
        <w:gridCol w:w="109"/>
        <w:gridCol w:w="211"/>
        <w:gridCol w:w="931"/>
        <w:gridCol w:w="346"/>
        <w:gridCol w:w="211"/>
        <w:gridCol w:w="104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43660" cy="175260"/>
                      <wp:effectExtent l="0" t="0" r="0" b="0"/>
                      <wp:wrapNone/>
                      <wp:docPr id="106" name="Frame106"/>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5935" cy="175260"/>
                      <wp:effectExtent l="0" t="0" r="0" b="0"/>
                      <wp:wrapNone/>
                      <wp:docPr id="109"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95935" cy="175260"/>
                      <wp:effectExtent l="0" t="0" r="0" b="0"/>
                      <wp:wrapNone/>
                      <wp:docPr id="112" name="Frame1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91185" cy="175260"/>
                      <wp:effectExtent l="0" t="0" r="0" b="0"/>
                      <wp:wrapNone/>
                      <wp:docPr id="115" name="Frame1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64210" cy="175260"/>
                      <wp:effectExtent l="0" t="0" r="0" b="0"/>
                      <wp:wrapNone/>
                      <wp:docPr id="118" name="Frame118"/>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7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7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673,138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440,822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1,137,443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840,999</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Inside merchandise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240,104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230,078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453,781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425,182</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6,773</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11,810</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920,774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677,673</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1,604,404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1,277,991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Deferred revenue – loyalty program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offers customer loyalty programs whereby participants can earn rewards based on their spending or other promotional activities redeemable towards certain merchandise or fuel. These programs create a performance obligation which requires us to defer a portion of sales revenue to the loyalty program participants until they redeem their awards. Earned rewards expire after an account is inactive for between one month and one year, depending on the program. The Company determines the loyalty reward obligations based on the relative standalone selling price. Liabilities for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bookmarkStart w:id="1026" w:name="Tc_hf_pkc9zBEOROyJwulDrIg_5_2"/>
      <w:bookmarkStart w:id="1027" w:name="Tc_jQFI8wa6oEmdbYfKZ9Glrw_5_0"/>
      <w:bookmarkStart w:id="1028" w:name="Tc_IZyE9QUVH0KPn1XzM177PQ_4_0"/>
      <w:bookmarkStart w:id="1029" w:name="Tc_9Togr93PKE-O3hpFZ4PoyQ_3_0"/>
      <w:bookmarkStart w:id="1030" w:name="Tc_Y9sPDBLz8k6JrpGCYSir4w_2_2"/>
      <w:bookmarkStart w:id="1031" w:name="Tc_hnkiLKoEy0qH8gfwlwakxw_2_0"/>
      <w:bookmarkStart w:id="1032" w:name="Tc_hYy3GdoQYEGod3BKNmNh9Q_1_2"/>
      <w:bookmarkEnd w:id="1026"/>
      <w:bookmarkEnd w:id="1027"/>
      <w:bookmarkEnd w:id="1028"/>
      <w:bookmarkEnd w:id="1029"/>
      <w:bookmarkEnd w:id="1030"/>
      <w:bookmarkEnd w:id="1031"/>
      <w:bookmarkEnd w:id="1032"/>
      <w:r>
        <w:rPr>
          <w:rFonts w:ascii="Times New Roman;Times;serif" w:hAnsi="Times New Roman;Times;serif"/>
          <w:sz w:val="20"/>
        </w:rPr>
        <w:t>unredeemed awards are accrued until redemption or expiration and, upon redemption and expiration, recorded as an adjustment to Other revenues.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the loyalty rewards program liability are included in Accrued expenses and other current liabilities in the accompanying unaudited Condensed Consolidated Balance Sheets were as follows:</w:t>
      </w:r>
    </w:p>
    <w:p>
      <w:pPr>
        <w:pStyle w:val="TextBody"/>
        <w:bidi w:val="0"/>
        <w:spacing w:before="0" w:after="0"/>
        <w:ind w:left="0" w:right="0" w:hanging="0"/>
        <w:jc w:val="left"/>
        <w:rPr/>
      </w:pPr>
      <w:r>
        <w:rPr/>
        <w:t>​</w:t>
      </w:r>
    </w:p>
    <w:tbl>
      <w:tblPr>
        <w:tblW w:w="5253" w:type="dxa"/>
        <w:jc w:val="left"/>
        <w:tblInd w:w="0" w:type="dxa"/>
        <w:tblLayout w:type="fixed"/>
        <w:tblCellMar>
          <w:top w:w="0" w:type="dxa"/>
          <w:left w:w="0" w:type="dxa"/>
          <w:bottom w:w="0" w:type="dxa"/>
          <w:right w:w="0" w:type="dxa"/>
        </w:tblCellMar>
      </w:tblPr>
      <w:tblGrid>
        <w:gridCol w:w="3736"/>
        <w:gridCol w:w="346"/>
        <w:gridCol w:w="275"/>
        <w:gridCol w:w="89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372360" cy="175260"/>
                      <wp:effectExtent l="0" t="0" r="0" b="0"/>
                      <wp:wrapNone/>
                      <wp:docPr id="119" name="Frame11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74625" cy="175260"/>
                      <wp:effectExtent l="0" t="0" r="0" b="0"/>
                      <wp:wrapNone/>
                      <wp:docPr id="121" name="Frame121"/>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68960" cy="175260"/>
                      <wp:effectExtent l="0" t="0" r="0" b="0"/>
                      <wp:wrapNone/>
                      <wp:docPr id="122" name="Frame12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Loyalty rewards liability, 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3,456</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deferred</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Loyalty rewards liability, ending balance</w:t>
            </w:r>
          </w:p>
        </w:tc>
        <w:tc>
          <w:tcPr>
            <w:tcW w:w="346"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3,643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expects all loyalty rewards outstanding as of June 30, 2026, to be recognized within one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Excise tax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Excise taxes of $66,309 and $125,283 for the three and six months ended June 30, 2026, respectively and $60,742 and $115,059 for the three and six months ended June 30, 2025, respectively, on retail fuel sales are included in total revenues and cost of goods sold.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goods sold (exclusive of depreciation and amortization)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includes all costs incurred to acquire motor fuel and merchandise, including excise taxes, the costs of purchasing, storing, and transporting inventory prior to delivery to customers as Cost of goods sold (exclusive of depreciation and amortization) in the accompanying unaudited Condensed Consolidated Statements of Income. All depreciation and amortization of Property and equipment amounts are included in Depreciation, amortization, and accretion expense in the accompanying unaudited Condensed Consolidated Statements of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Fuel and merchandise vendor allowances and rebates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Fuel suppliers and merchandise vendors offer incentives and allowances in different forms. The Company accounts for these incentives and allowances under FASB ASC 705-20</w:t>
      </w:r>
      <w:r>
        <w:rPr>
          <w:rFonts w:ascii="Times New Roman;Times;serif" w:hAnsi="Times New Roman;Times;serif"/>
          <w:i/>
          <w:sz w:val="20"/>
        </w:rPr>
        <w:t>, Accounting for Consideration Received from Vendors.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Fuel supplier incentives and allowances may include a discount for prompt payment, temporary volume allowances, and other volume rebates. Prompt payment discounts from suppliers are based on a percentage of the purchase price of motor fuel and the dollar value of these discounts varies with motor fuel prices. These incentives and allowance are recorded as reduction to the cost of goods sold.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receives payments for vendor allowances and volume rebates from various suppliers of convenience store merchandise. Vendor allowances for price markdowns are credited to the Cost of goods sold (exclusive of depreciation and amortization) during the period the related markdown is realized. Volume rebates of merchandise are recorded as reductions to the cost of goods sold when the merchandise qualifies for the rebate is sold. Slotting and stocking allowances received from a vendor are recorded as a reduction to the cost of goods sold over the period covered by the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taxed as a subchapter C corporation and is subject to U.S. federal, state, and local income taxes on its share of allocable partnership income. The Company’s sole material asset is its ownership in Ultimate Parent, which is a limited liability company that is taxed as a partnership for U.S. federal and certain state and local income tax purposes. Ultimate Parent’s allocable share of taxable income and related tax credits, if any, are passed through to its unit holders, including the Company, and are included in the unit holders’ tax returns.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any period in which the Company acquires additional units of Ultimate Parent by means of an exchange transaction, the Company records related income tax effects as an adjustment to equity. (See Tax receivable liability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income taxes in accordance with ASC 740, </w:t>
      </w:r>
      <w:r>
        <w:rPr>
          <w:rFonts w:ascii="Times New Roman;Times;serif" w:hAnsi="Times New Roman;Times;serif"/>
          <w:i/>
          <w:sz w:val="20"/>
        </w:rPr>
        <w:t>Accounting for Income Taxes</w:t>
      </w:r>
      <w:r>
        <w:rPr>
          <w:rFonts w:ascii="Times New Roman;Times;serif" w:hAnsi="Times New Roman;Times;serif"/>
          <w:sz w:val="20"/>
        </w:rPr>
        <w:t>, which requires the asset and liability approach for financial accounting and reporting, including the recognition of deferred tax assets and liabilities for the expected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740 requires a valuation allowance to reduce the deferred tax assets reported if, based on the weight of the evidence it is more likely than not that some portion or all of the deferred tax assets will not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not be able to realize deferred taxes in the future, the Company would make an adjustment to the deferred tax asset valuation allowance, which would increase the provision for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records uncertain tax positions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selection with the related tax authority.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interest and penalties, if any, related to unrecognized tax benefits as a component of income tax expense in the accompanying Condensed Consolidated Statements of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 receivable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IPO and Transactions, the Company entered into the Tax Receivable Agreement (“TRA”) with Ultimate Parent, the Continuing Equity Owners, and the Blocker Shareholders that provides for the cash payment of 85% of the amount of income tax benefits, if any, that the Company actually realizes or, in certain circumstances is deemed to realize, as a result of (i) the Company’s allocable share of the existing tax basis in the assets of Ultimate Parent and its flow-through subsidiaries, which tax basis is attributable to the LLC Interests acquired in connection with the Transactions, (ii) the increase in the Company’s allocable share of the tax basis of Ultimate Parent’s assets resulting from (a) any future redemptions or exchanges of LLC Interests from the Continuing Equity Owners and (b) certain distributions (or deemed distributions) by Ultimate Parent (iii) the Company’s allocable share of the existing tax basis in Ultimate Parent and its flow-through subsidiaries at the time of any redemption or exchange of LLC Interests which tax basis is attributable to the LLC Interests being redeemed or exchanged and acquired by the Company (any such resulting basis increases and/or allocable shares of existing basis described in clauses (i) through (iv), “Basis Adjustments”), and (v) certain additional tax benefits (such as interest deductions) attributable to payments that are made under the TRA. Payments under the TRA may be based on certain simplifying assumptions regarding the determination of the tax benefits that are realized or are deemed to be realized from the covered tax attributes, which may result in payments pursuant to the TRA in excess of those that would result if such assumptions were not made. No party to the TRA will reimburse the Company for any payments previously made if such basis increases or other benefits are subsequently disallowed, except that excess payments made to the TRA party will be netted against future cash payments that would otherwise be made under the TRA, to such TRA party, if any, after determination of such excess. The Company accounts for the TRA in accordance with ASC Topic 450, </w:t>
      </w:r>
      <w:r>
        <w:rPr>
          <w:rFonts w:ascii="Times New Roman;Times;serif" w:hAnsi="Times New Roman;Times;serif"/>
          <w:i/>
          <w:sz w:val="20"/>
        </w:rPr>
        <w:t>Contingencies</w:t>
      </w:r>
      <w:r>
        <w:rPr>
          <w:rFonts w:ascii="Times New Roman;Times;serif" w:hAnsi="Times New Roman;Times;serif"/>
          <w:sz w:val="20"/>
        </w:rPr>
        <w:t>. As such, subsequent changes in the value of the TRA liability between reporting periods are recognized in the accompanying unaudited Condensed Consolidated Statements of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suppliers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procures most of its fuel products under branded fuel supply agreements with two major oil companies. The supply agreements provide formula-based pricing and minimum volume commitments. The Company’s branded fuel purchases totaled approximately 80% for both the three and six months ended June 30, 2026, respectively, and 83% and 84% for the three and six months ended June 30, 2025, and exceeded their minimum volume purchase commitments. The Company may also purchase unbranded fuel from other suppliers to supply unbranded sites. Fuel products are received at various fuel terminals throughout markets in which the Company operates and are transported to stores through common carriers. While the Company believes other fuel suppliers could supply product at similar or more favorable terms, there is a risk that an alternative supplier would not be immediately available or would not meet the current contracted pricing agreement, resulting in a material effect on the Company’s business, cost of goods sold,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purchased approximately 53% and 54% for the three and six months ended June 30, 2026, respectively, and 54% for both the three and six months ended June 30, 2025, of general merchandise and supplies from three wholesale grocers. While the Company believes other wholesale grocers could supply general merchandise at similar or more favorable terms, there is a risk an alternative supplier would not be immediately available or would not meet the current pricing resulting in a material effect on the Company’s business, costs of goods sold,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 of credit risk consist principally of cash and cash equivalents and accounts receivable. The Company invests a portion of its cash and cash equivalents with nonaffiliated institutions, which, at times, may exceed federally insured limits and which management believes to have strong credit ratings. The Company has not experienced any losses on its deposits of cash or cash equivalents. Federal insurance coverage was limited to $250 per depositor at each financial institution. As of June 30, 2026, and December 31, 2025, there were approximately $86,944 and $29,004, respectively, in accounts that were in excess of federally insured limits. Concentrations of credit risk with respect to accounts receivable are limited due to the credit worthiness of the Company’s credit card processors, vendors, tenants, and customers. Management regularly monitors the creditworthiness of its counterparties and believes that it has adequately provided for any exposure to expected credit losses.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Equity-based compensation is accounted for as an expense in accordance with ASC Topic 718, </w:t>
      </w:r>
      <w:r>
        <w:rPr>
          <w:rFonts w:ascii="Times New Roman;Times;serif" w:hAnsi="Times New Roman;Times;serif"/>
          <w:i/>
          <w:sz w:val="20"/>
        </w:rPr>
        <w:t>Stock Compensation</w:t>
      </w:r>
      <w:r>
        <w:rPr>
          <w:rFonts w:ascii="Times New Roman;Times;serif" w:hAnsi="Times New Roman;Times;serif"/>
          <w:sz w:val="20"/>
        </w:rPr>
        <w:t>, which requires compensation cost for the grant-date fair value of equity-based awards to be recognized over the requisite service periods. The Company uses the straight-line method to amortize all stock awards granted over the requisite service period of the award. The Company accounts for forfeitures when they occur, and any compensation expense previously recognized on unvested equity-based awards is reversed when forfeited.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restricted stock units (“RSUs”) is based on the fair value of Class A common stock at the time of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performance stock units (“PSUs”) is estimated using a Monte Carlo simulation approach. These require management to make assumptions on the grant date, including the expected term of the award, the expected volatility of the Company’s Class A common stock calculated based on a period of time commensurate with the expected term of the award, risk-free interest rates, expected dividend yields of the Company’s Class A common stock, and the probability and timing of achieving the hurdle amount.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Unit incentive plan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Prior to the IPO, employees of the Company were eligible to participate in the Unit Incentive Plan (the “Plan”). The Plan was designed as profit interests for plan participants (the “Plan Participants”) to share in any future appreciation of the Company after the Members receive the agreed upon distribution of $762,110, thereby aligning the interests of Plan Participants with those of the Company’s Members. The Company authorized the issuance of up to 2.5% Series P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 interests (“Series P Interests”) for Plan Participants. Series P Interests were subject to vesting, repurchase rights upon cessation of employment, and other events defined within the Plan. Series P Interests vested over a 4-year period as long as the Participant has provided continuous employment, consulting, or other service to the Company, one of its Affiliates or an Affiliate through each vesting date. The Series P Interests were all fully vested as of December 31, 2024. Vested Series P Interests were exchanged for LLC Interests on a “value-for-value” basis based on the fair market value of the Series P Interests at the time of the IPO and Transactions and the Class A common stock price in the IPO, and taking into account applicable participating thresholds.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Redeemable senior preferred membership interests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accounted for members’ interest subject to possible redemption in accordance with the guidance in ASC 480, </w:t>
      </w:r>
      <w:r>
        <w:rPr>
          <w:rFonts w:ascii="Times New Roman;Times;serif" w:hAnsi="Times New Roman;Times;serif"/>
          <w:i/>
          <w:sz w:val="20"/>
        </w:rPr>
        <w:t>Distinguishing Liabilities from Equity</w:t>
      </w:r>
      <w:r>
        <w:rPr>
          <w:rFonts w:ascii="Times New Roman;Times;serif" w:hAnsi="Times New Roman;Times;serif"/>
          <w:sz w:val="20"/>
        </w:rPr>
        <w:t>. The redeemable senior preferred membership interests were redeemable upon the occurrence of certain deemed liquidation events which are outside of the Company’s control and therefore are classified outside of permanent equity. The redeemable senior preferred membership interests are recorded net of issuance costs and discounts and are being accreted to their expected redemption amount using the effective interest method over the expected term of the instrument. The Company recorded accretion of $2,236 and $12,638 during the three and six months ended June 30, 2026, respectively, and $8,744 and $17,138 during the three and six months June 30, 2025, respectively, which is considered a deemed dividend.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redeemable senior preferred membership interests contained an embedded derivative which required bifurcation and mark-to-market treatment each period with changes in fair value recognized in earnings in accordance with ASC 815-15, </w:t>
      </w:r>
      <w:r>
        <w:rPr>
          <w:rFonts w:ascii="Times New Roman;Times;serif" w:hAnsi="Times New Roman;Times;serif"/>
          <w:i/>
          <w:sz w:val="20"/>
        </w:rPr>
        <w:t>Derivatives and Hedging – Embedded Derivatives</w:t>
      </w:r>
      <w:r>
        <w:rPr>
          <w:rFonts w:ascii="Times New Roman;Times;serif" w:hAnsi="Times New Roman;Times;serif"/>
          <w:sz w:val="20"/>
        </w:rPr>
        <w:t>. See also Note 14 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interests were fully redeemed with proceeds from the IPO.</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 accounting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Leases are classified and reported in accordance with FASB ASC 842</w:t>
      </w:r>
      <w:r>
        <w:rPr>
          <w:rFonts w:ascii="Times New Roman;Times;serif" w:hAnsi="Times New Roman;Times;serif"/>
          <w:i/>
          <w:sz w:val="20"/>
        </w:rPr>
        <w:t xml:space="preserve">, Leases </w:t>
      </w:r>
      <w:r>
        <w:rPr>
          <w:rFonts w:ascii="Times New Roman;Times;serif" w:hAnsi="Times New Roman;Times;serif"/>
          <w:sz w:val="20"/>
        </w:rPr>
        <w:t>(“ASC 842”). The Company leases certain properties under non-cancellable leases whose base terms are typically 10 to 20 years and generally provide options that permit renewals for additional periods. The Company recognizes a right-of-use asset representing its right to use the underlying assets for the lease term and a lease liability for the obligation to make lease payments. Both the right-of-use asset and lease liability are initially measured at the present value of the lease payments using the implicit rate in the lease agreement when it is readily determinable. When the implicit rate is not readily determinable, the Company uses its incremental borrowing rate of debt over the term of the lease. The Company includes lease payments from renewal options in the measurement of its right-of-use assets and lease liabilities when the renewal options are reasonably certain of exercise. Minimum lease payments are expensed on a straight-line basis over the term of the lease including renewal periods that are reasonably expected to be exercised. In addition to minimum lease payments, certain leases provide for fixed or indexed-based increases and may also include additional payments based on the Company’s sales volumes. The Company is typically responsible for payment of real estate taxes, maintenance expenses, and insurance related to the leased properties. All variable-based increases or additional lease expenses are expensed as incurred and not included in the Company’s recognized lease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elected to account for each lease component and its associated non-lease components as a single component and has allocated the contract consideration across lease components only.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Additionally, for each of the Company’s real estate transactions involving the leaseback of the related property from the buyer or affiliates of the buyer, the Company determines whether these transactions qualify as sale and leaseback transactions under ASC 842. A transaction involving a sale and leaseback will be accounted for as a sale if the buyer-lessor obtains control of the asset unless the leaseback would be classified as a finance lease or unless an option for the Company to repurchase the asset would preclude accounting as a sale. The Company considers various inputs and assumptions in assessing whether transactions involving a sale and leaseback should be accounted for as a sale, including whether the buyer-lessor has the significant risks and rewards of ownership, lease renewal options, and whether a repurchase option exists. For these transactions, the Company considers various inputs and assumptions including, but not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bookmarkStart w:id="1033" w:name="Tc_7MkygYFfXUWJjLtcWzNhQA_8_5"/>
      <w:bookmarkStart w:id="1034" w:name="Tc_pRyhBO0un0yJ-yk1KJWuaQ_8_2"/>
      <w:bookmarkStart w:id="1035" w:name="Tc_r8ga_0FSq0m1w6w2ciFc4g_8_0"/>
      <w:bookmarkStart w:id="1036" w:name="Tc_8zOquuEVEkqXJuHXgls1ww_7_0"/>
      <w:bookmarkStart w:id="1037" w:name="Tc_Z0oRhvSTv0WP3Z4yCQYCtQ_6_0"/>
      <w:bookmarkStart w:id="1038" w:name="Tc_7dkwh5DPU0qH1lRXz7cFaw_5_0"/>
      <w:bookmarkStart w:id="1039" w:name="Tc_JMRRyhKCpUOFtiVV6QfbwA_4_0"/>
      <w:bookmarkStart w:id="1040" w:name="Tc_TP6aA8DVU06QVNqGD0Cc-A_3_0"/>
      <w:bookmarkStart w:id="1041" w:name="Tc_6lV_tnkj0UKsxYJ1O66Leg_2_5"/>
      <w:bookmarkStart w:id="1042" w:name="Tc_pdAvOVy9_Eeu4h3jMFrSvg_2_2"/>
      <w:bookmarkStart w:id="1043" w:name="Tc_v3nRRwYG20yxkNomzE375Q_2_0"/>
      <w:bookmarkStart w:id="1044" w:name="Tc_ODPQvXYiBkK3Xl6MaIPsMA_1_5"/>
      <w:bookmarkStart w:id="1045" w:name="Tc_GNPSyXZsm0C-c2CIzIVFXg_1_2"/>
      <w:bookmarkEnd w:id="1033"/>
      <w:bookmarkEnd w:id="1034"/>
      <w:bookmarkEnd w:id="1035"/>
      <w:bookmarkEnd w:id="1036"/>
      <w:bookmarkEnd w:id="1037"/>
      <w:bookmarkEnd w:id="1038"/>
      <w:bookmarkEnd w:id="1039"/>
      <w:bookmarkEnd w:id="1040"/>
      <w:bookmarkEnd w:id="1041"/>
      <w:bookmarkEnd w:id="1042"/>
      <w:bookmarkEnd w:id="1043"/>
      <w:bookmarkEnd w:id="1044"/>
      <w:bookmarkEnd w:id="1045"/>
      <w:r>
        <w:rPr>
          <w:rFonts w:ascii="Times New Roman;Times;serif" w:hAnsi="Times New Roman;Times;serif"/>
          <w:sz w:val="20"/>
        </w:rPr>
        <w:t>necessarily limited to, effective cost of funds, lease terms, renewal options, minimum lease payments, discount rates, economic life of the properties, the existence of a purchase option, and other rights and provisions in the purchase and sale agreement, lease, and other documentation to determine whether control has been transferred to the buyer or remains with the Company. A lease will be classified as direct financing if risks and rewards are conveyed without the transfer of control. Otherwise, the lease is treated as an operating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to the sale and leaseback transactions described above, the Company entered into BTS Arrangements for the construction of new stores. For BTS Arrangements, the Company may transfer land or partially constructed assets to the lessor and leaseback the underlying assets upon completion of construction. Only transactions for which the construction-in-progress asset is substantially similar to the completed asset leased back are in the scope of the sale and leaseback guidance. If the asset leased back is substantially different from that being sold, the transaction is assessed as a sale of a non-financial asset under FASB ASC 606, </w:t>
      </w:r>
      <w:r>
        <w:rPr>
          <w:rFonts w:ascii="Times New Roman;Times;serif" w:hAnsi="Times New Roman;Times;serif"/>
          <w:i/>
          <w:sz w:val="20"/>
        </w:rPr>
        <w:t>Revenue Recognition</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FASB ASC 842, BTS Arrangements require specific consideration to determine whether the Company is considered the accounting owner of the land and asset during the construction period. This determination requires the Company to evaluate whether the Company controls the land and assets being constructed, which includes having the ability to direct how and for what purpose the asset is used during the construction period, as well as bearing the majority of the risks and rewards of ownership. For these BTS Arrangements, the Company has determined the lessor has obtained control of the land during the construction period. Nonetheless, the Company remains the accounting owner of the land until lease commencement as sale treatment cannot be determined until the lease commences. Upon commencement of the lease, the Company applies the leaseback measurement guidance under ASC 842 described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Asset retirement obligations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roll forward of the asset retirement obligations at June 30, 2026, and December 31, 2025:</w:t>
      </w:r>
    </w:p>
    <w:p>
      <w:pPr>
        <w:pStyle w:val="TextBody"/>
        <w:bidi w:val="0"/>
        <w:spacing w:before="0" w:after="240"/>
        <w:ind w:left="0" w:right="0" w:hanging="0"/>
        <w:jc w:val="both"/>
        <w:rPr/>
      </w:pPr>
      <w:r>
        <w:rPr/>
        <w:t>​</w:t>
      </w:r>
    </w:p>
    <w:tbl>
      <w:tblPr>
        <w:tblW w:w="6365" w:type="dxa"/>
        <w:jc w:val="left"/>
        <w:tblInd w:w="0" w:type="dxa"/>
        <w:tblLayout w:type="fixed"/>
        <w:tblCellMar>
          <w:top w:w="0" w:type="dxa"/>
          <w:left w:w="0" w:type="dxa"/>
          <w:bottom w:w="0" w:type="dxa"/>
          <w:right w:w="0" w:type="dxa"/>
        </w:tblCellMar>
      </w:tblPr>
      <w:tblGrid>
        <w:gridCol w:w="3016"/>
        <w:gridCol w:w="346"/>
        <w:gridCol w:w="267"/>
        <w:gridCol w:w="859"/>
        <w:gridCol w:w="346"/>
        <w:gridCol w:w="322"/>
        <w:gridCol w:w="1209"/>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915160" cy="175260"/>
                      <wp:effectExtent l="0" t="0" r="0" b="0"/>
                      <wp:wrapNone/>
                      <wp:docPr id="123" name="Frame123"/>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69545" cy="175260"/>
                      <wp:effectExtent l="0" t="0" r="0" b="0"/>
                      <wp:wrapNone/>
                      <wp:docPr id="125" name="Frame12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45465" cy="175260"/>
                      <wp:effectExtent l="0" t="0" r="0" b="0"/>
                      <wp:wrapNone/>
                      <wp:docPr id="126" name="Frame12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4470" cy="175260"/>
                      <wp:effectExtent l="0" t="0" r="0" b="0"/>
                      <wp:wrapNone/>
                      <wp:docPr id="128" name="Frame128"/>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67715" cy="175260"/>
                      <wp:effectExtent l="0" t="0" r="0" b="0"/>
                      <wp:wrapNone/>
                      <wp:docPr id="129" name="Frame129"/>
                      <a:graphic xmlns:a="http://schemas.openxmlformats.org/drawingml/2006/main">
                        <a:graphicData uri="http://schemas.microsoft.com/office/word/2010/wordprocessingShape">
                          <wps:wsp>
                            <wps:cNvSpPr txBox="1"/>
                            <wps:spPr>
                              <a:xfrm>
                                <a:off x="0" y="0"/>
                                <a:ext cx="767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10,096</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10,854</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expense</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 </w:t>
            </w:r>
          </w:p>
        </w:tc>
        <w:tc>
          <w:tcPr>
            <w:tcW w:w="12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settled</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 </w:t>
            </w:r>
          </w:p>
        </w:tc>
        <w:tc>
          <w:tcPr>
            <w:tcW w:w="12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Revisions in estimated cash flows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 </w:t>
            </w:r>
          </w:p>
        </w:tc>
        <w:tc>
          <w:tcPr>
            <w:tcW w:w="12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incurred</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 </w:t>
            </w:r>
          </w:p>
        </w:tc>
        <w:tc>
          <w:tcPr>
            <w:tcW w:w="12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classified as held for sale</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10,457</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10,096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Earnings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Basic earnings per share is calculated by dividing the net income by the weighted-average number of shares of the Company’s Class A common stock outstanding for the period, without consideration for potential dilutive shares of common stock. Shares of Class B common stock, RSUs, and PSUs are not entitled to receive any distributions or dividends and are, therefore, excluded from this presentation since they are not participating securities. The Company calculated diluted earnings per share using the treasury stock method for RSUs and the if-converted method for LLC Interests which are exchangeable at the Company’s election for the Company’s Class A common stock.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did not include earnings per share for the pre-IPO period as part of its financial statements. All earnings prior to April 23, 2026, the completion of the IPO, were entirely allocable to the noncontrolling interests and, as a result, earnings per share information is not applicable for the reporting periods prior to this date. Consequently, only earnings per share for net income for periods including and subsequent to April 23, 2026, are presented.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manages its business activities on a consolidated basis and operates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segment (the “Retail segment”). The Company primarily derives its revenue in the United States by operating convenience stores that offer a broad selection of merchandise, fuel, and other products and services designed to appeal to the convenience needs of the Company’s customers. The Company’s stores sell similar products and services, use similar processes to sell those products and services, and sell their products and services to similar classes of customers. The Chief Operating Decision Maker (“CODM”) is the Chairman and Chief Executive Officer. The CODM evaluates performance using Net income, as reported in the Company’s accompanying unaudited Condensed Consolidated Statements of Income. This metric is used to make operational and strategic decisions, prepare the Company’s annual plan, and allocate resources. The measurement of segment assets is reported in the accompanying unaudited Condensed Consolidated Balance Sheets as Total assets.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Accounting Pronouncements adopted during the current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Measurement of Credit Losses for Accounts Receivable and Contract Assets</w:t>
      </w:r>
      <w:r>
        <w:rPr>
          <w:rFonts w:ascii="Times New Roman;Times;serif" w:hAnsi="Times New Roman;Times;serif"/>
          <w:sz w:val="20"/>
        </w:rPr>
        <w:t xml:space="preserve">. The standard relates to estimating credit losses under CECL for current accounts receivable and current contract assets arising from revenue transactions accounted for under ASC 606, </w:t>
      </w:r>
      <w:r>
        <w:rPr>
          <w:rFonts w:ascii="Times New Roman;Times;serif" w:hAnsi="Times New Roman;Times;serif"/>
          <w:i/>
          <w:sz w:val="20"/>
        </w:rPr>
        <w:t>Revenue from Contracts with Customers</w:t>
      </w:r>
      <w:r>
        <w:rPr>
          <w:rFonts w:ascii="Times New Roman;Times;serif" w:hAnsi="Times New Roman;Times;serif"/>
          <w:sz w:val="20"/>
        </w:rPr>
        <w:t xml:space="preserve">, including those acquired in a transaction accounted for under ASC 805, </w:t>
      </w:r>
      <w:r>
        <w:rPr>
          <w:rFonts w:ascii="Times New Roman;Times;serif" w:hAnsi="Times New Roman;Times;serif"/>
          <w:i/>
          <w:sz w:val="20"/>
        </w:rPr>
        <w:t>Business Combinations</w:t>
      </w:r>
      <w:r>
        <w:rPr>
          <w:rFonts w:ascii="Times New Roman;Times;serif" w:hAnsi="Times New Roman;Times;serif"/>
          <w:sz w:val="20"/>
        </w:rPr>
        <w:t>. The standard does not apply to other types of accounts receivable and loans. The standard provides a practical expedient to assume that current conditions as of the balance sheet date will persist through the reasonable and supportable forecast period for eligible assets. Entities will still be required to adjust historical data used in the estimation to reflect current conditions. If elected, the practical expedient must be applied consistently to all eligible current accounts receivable and current contract assets. The Company adopted this standard on January 1, 2026, on a prospective basis. There was no impact on the Company’s financial statements or footnote disclosures as a result of adopting the practical expedient.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 - Not yet Adopted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May 2026, the FASB issued ASU 2026-02, </w:t>
      </w:r>
      <w:r>
        <w:rPr>
          <w:rFonts w:ascii="Times New Roman;Times;serif" w:hAnsi="Times New Roman;Times;serif"/>
          <w:i/>
          <w:sz w:val="20"/>
        </w:rPr>
        <w:t>Environmental Credits and Environmental Credit Obligations</w:t>
      </w:r>
      <w:r>
        <w:rPr>
          <w:rFonts w:ascii="Times New Roman;Times;serif" w:hAnsi="Times New Roman;Times;serif"/>
          <w:sz w:val="20"/>
        </w:rPr>
        <w:t>. The standard provides recognition, measurement, presentation, and disclosure requirements for all entities that generate, purchase, or receive environmental credits or have a regulatory compliance obligation that may be settled with environmental credits. The new guidance will be effective for annual reporting periods beginning after December 15, 2027, and interim reporting periods within those annual reporting periods and is to be adopted on a retrospective basis through a cumulative-effect adjustment to the opening balance of retained earnings as of the beginning of the annual reporting period of adoption. Early adoption is permitted as of the beginning of an annual reporting period. The Company is currently evaluating ASU 2026-02 to determine its impact on financial and footnote disclosures.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w:t>
      </w:r>
      <w:r>
        <w:rPr>
          <w:rFonts w:ascii="Times New Roman;Times;serif" w:hAnsi="Times New Roman;Times;serif"/>
          <w:sz w:val="20"/>
        </w:rPr>
        <w:t>. The standard clarifies interim disclosure requirements and requires entities to disclose events since the end of the last annual reporting period that have had a material impact on the entity. The new guidance will be effective for interim reporting periods within annual reporting periods beginning after December 15, 2027, and is to be adopted on a prospective basis. Early adoption is permitted and may be applied either prospectively or retrospectively. The Company is currently evaluating ASU 2025-11 to determine its impact on financial and footnote disclosures.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Income—Expense Disaggregation Disclosures (Subtopic 220-40): Disaggregation of Income Statement Expenses.</w:t>
      </w:r>
      <w:r>
        <w:rPr>
          <w:rFonts w:ascii="Times New Roman;Times;serif" w:hAnsi="Times New Roman;Times;serif"/>
          <w:sz w:val="20"/>
        </w:rPr>
        <w:t xml:space="preserve"> The standard is intended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selling, general, and administrative, and research and development). The amendments will require public entities or private companies that are in the process of going public to disclose specific types of expenses included in the expense captions presented on the face of the income statement, as well as disclosures about selling expenses. The new standard is effective for the Company’s annual periods beginning January 1, 2027, and interim periods within fiscal years beginning after December 15, 2027.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Early adoption is permitted. The Company is currently evaluating this standard to determine its impact on the financial statements and footnote disclosures. </w:t>
      </w:r>
    </w:p>
    <w:p>
      <w:pPr>
        <w:pStyle w:val="Normal"/>
        <w:bidi w:val="0"/>
        <w:spacing w:before="0" w:after="0"/>
        <w:jc w:val="left"/>
        <w:rPr>
          <w:sz w:val="4"/>
          <w:szCs w:val="4"/>
        </w:rPr>
      </w:pPr>
      <w:r>
        <w:rPr>
          <w:sz w:val="4"/>
          <w:szCs w:val="4"/>
        </w:rPr>
      </w:r>
      <w:bookmarkStart w:id="1046" w:name="Tc_LE6Kbk5BtEybPsCEODZeug_5_5"/>
      <w:bookmarkStart w:id="1047" w:name="Tc_MHpN8G0kM0e_a7c_cNiwwQ_5_2"/>
      <w:bookmarkStart w:id="1048" w:name="Tc_K6280cGFMEqz_D1Pu26UJA_5_0"/>
      <w:bookmarkStart w:id="1049" w:name="Tc_RaSApDh4ZEShWsxnLLSM3A_4_5"/>
      <w:bookmarkStart w:id="1050" w:name="Tc_ewPDqHOCDEuupxgF2ufeHg_4_2"/>
      <w:bookmarkStart w:id="1051" w:name="Tc_kqLDcnyXmUi2Ll7Yni7Row_4_0"/>
      <w:bookmarkStart w:id="1052" w:name="Tc_IlTfUzsgLkqzs3Urj6LMxg_3_5"/>
      <w:bookmarkStart w:id="1053" w:name="Tc_X_ms7QiR00iLzadTUo6Wuw_3_2"/>
      <w:bookmarkStart w:id="1054" w:name="Tc_QuLByeTjjEC8WAg_0JekTA_3_0"/>
      <w:bookmarkStart w:id="1055" w:name="Tc_qxLGNvEXNE6poKQuFLhgVw_2_5"/>
      <w:bookmarkStart w:id="1056" w:name="Tc_BvfwZXi1M0OXHe6BNnzO4w_2_2"/>
      <w:bookmarkStart w:id="1057" w:name="Tc_SGWH4d4JnEGvZiABbdveJw_1_5"/>
      <w:bookmarkStart w:id="1058" w:name="Tc_7SCRnIUvqUSzxHpuWpuQIg_1_2"/>
      <w:bookmarkStart w:id="1059" w:name="_a06b0420_c1d1_43cc_8da0_f3bb27103f3e"/>
      <w:bookmarkStart w:id="1060" w:name="Tc_QQ6zL7JgKk25wpZcg9Xsbg_6_5"/>
      <w:bookmarkStart w:id="1061" w:name="Tc_qYMhf2fPwUqB5uT5GyhWzQ_6_2"/>
      <w:bookmarkStart w:id="1062" w:name="Tc_KqTnmiOUdkGvPUl7siI_iA_6_0"/>
      <w:bookmarkStart w:id="1063" w:name="Tc_PU0gcY0xBUCAOEMnkVG-sg_5_0"/>
      <w:bookmarkStart w:id="1064" w:name="Tc_ND2-qxzZmU2lQXARvmQD7w_4_5"/>
      <w:bookmarkStart w:id="1065" w:name="Tc_U6__gB5XcUmzinQ1Za3vBw_4_2"/>
      <w:bookmarkStart w:id="1066" w:name="Tc_4lxrnfDL20yv5yi6T1UPyw_4_0"/>
      <w:bookmarkStart w:id="1067" w:name="Tc_f7J5F7wry06EOluAjIbvwQ_3_5"/>
      <w:bookmarkStart w:id="1068" w:name="Tc_DvU8F25cnkGTTARuZiMmgA_3_2"/>
      <w:bookmarkStart w:id="1069" w:name="Tc_AZp6vD11_EyD9IAkOTTrXg_3_0"/>
      <w:bookmarkStart w:id="1070" w:name="Tc_Be6yhyuzp0GksjxlFoPT5g_2_5"/>
      <w:bookmarkStart w:id="1071" w:name="Tc__nkNHRI5nEm_g0GVtF23KA_2_2"/>
      <w:bookmarkStart w:id="1072" w:name="Tc_kXS6GQU5fUKqhZyDJu4FiA_1_5"/>
      <w:bookmarkStart w:id="1073" w:name="Tc_QpjBlgaU_UCJ-CFRxS4MBw_1_2"/>
      <w:bookmarkStart w:id="1074" w:name="_55ac68fc_9a0a_4164_ba18_5d19a068ace9"/>
      <w:bookmarkStart w:id="1075" w:name="Tc_LE6Kbk5BtEybPsCEODZeug_5_5"/>
      <w:bookmarkStart w:id="1076" w:name="Tc_MHpN8G0kM0e_a7c_cNiwwQ_5_2"/>
      <w:bookmarkStart w:id="1077" w:name="Tc_K6280cGFMEqz_D1Pu26UJA_5_0"/>
      <w:bookmarkStart w:id="1078" w:name="Tc_RaSApDh4ZEShWsxnLLSM3A_4_5"/>
      <w:bookmarkStart w:id="1079" w:name="Tc_ewPDqHOCDEuupxgF2ufeHg_4_2"/>
      <w:bookmarkStart w:id="1080" w:name="Tc_kqLDcnyXmUi2Ll7Yni7Row_4_0"/>
      <w:bookmarkStart w:id="1081" w:name="Tc_IlTfUzsgLkqzs3Urj6LMxg_3_5"/>
      <w:bookmarkStart w:id="1082" w:name="Tc_X_ms7QiR00iLzadTUo6Wuw_3_2"/>
      <w:bookmarkStart w:id="1083" w:name="Tc_QuLByeTjjEC8WAg_0JekTA_3_0"/>
      <w:bookmarkStart w:id="1084" w:name="Tc_qxLGNvEXNE6poKQuFLhgVw_2_5"/>
      <w:bookmarkStart w:id="1085" w:name="Tc_BvfwZXi1M0OXHe6BNnzO4w_2_2"/>
      <w:bookmarkStart w:id="1086" w:name="Tc_SGWH4d4JnEGvZiABbdveJw_1_5"/>
      <w:bookmarkStart w:id="1087" w:name="Tc_7SCRnIUvqUSzxHpuWpuQIg_1_2"/>
      <w:bookmarkStart w:id="1088" w:name="_a06b0420_c1d1_43cc_8da0_f3bb27103f3e"/>
      <w:bookmarkStart w:id="1089" w:name="Tc_QQ6zL7JgKk25wpZcg9Xsbg_6_5"/>
      <w:bookmarkStart w:id="1090" w:name="Tc_qYMhf2fPwUqB5uT5GyhWzQ_6_2"/>
      <w:bookmarkStart w:id="1091" w:name="Tc_KqTnmiOUdkGvPUl7siI_iA_6_0"/>
      <w:bookmarkStart w:id="1092" w:name="Tc_PU0gcY0xBUCAOEMnkVG-sg_5_0"/>
      <w:bookmarkStart w:id="1093" w:name="Tc_ND2-qxzZmU2lQXARvmQD7w_4_5"/>
      <w:bookmarkStart w:id="1094" w:name="Tc_U6__gB5XcUmzinQ1Za3vBw_4_2"/>
      <w:bookmarkStart w:id="1095" w:name="Tc_4lxrnfDL20yv5yi6T1UPyw_4_0"/>
      <w:bookmarkStart w:id="1096" w:name="Tc_f7J5F7wry06EOluAjIbvwQ_3_5"/>
      <w:bookmarkStart w:id="1097" w:name="Tc_DvU8F25cnkGTTARuZiMmgA_3_2"/>
      <w:bookmarkStart w:id="1098" w:name="Tc_AZp6vD11_EyD9IAkOTTrXg_3_0"/>
      <w:bookmarkStart w:id="1099" w:name="Tc_Be6yhyuzp0GksjxlFoPT5g_2_5"/>
      <w:bookmarkStart w:id="1100" w:name="Tc__nkNHRI5nEm_g0GVtF23KA_2_2"/>
      <w:bookmarkStart w:id="1101" w:name="Tc_kXS6GQU5fUKqhZyDJu4FiA_1_5"/>
      <w:bookmarkStart w:id="1102" w:name="Tc_QpjBlgaU_UCJ-CFRxS4MBw_1_2"/>
      <w:bookmarkStart w:id="1103" w:name="_55ac68fc_9a0a_4164_ba18_5d19a068ace9"/>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p>
    <w:tbl>
      <w:tblPr>
        <w:tblW w:w="3362" w:type="dxa"/>
        <w:jc w:val="left"/>
        <w:tblInd w:w="0" w:type="dxa"/>
        <w:tblLayout w:type="fixed"/>
        <w:tblCellMar>
          <w:top w:w="0" w:type="dxa"/>
          <w:left w:w="0" w:type="dxa"/>
          <w:bottom w:w="0" w:type="dxa"/>
          <w:right w:w="0" w:type="dxa"/>
        </w:tblCellMar>
      </w:tblPr>
      <w:tblGrid>
        <w:gridCol w:w="271"/>
        <w:gridCol w:w="309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0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Assets and Liabilities Held for Sale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first quarter of 2025, the Company committed to a plan to sell a disposal group that includes all of its 29 operating Iowa and Kansas convenience stores. The assets and related liabilities were classified as held for sale as of March 31, 2025. These assets and liabilities were not considered significant to the Company and did not represent a strategic shift. As of June 30, 2026, the disposal group continued to meet the criteria to be classified as held for sale under ASC 360, “</w:t>
      </w:r>
      <w:r>
        <w:rPr>
          <w:rFonts w:ascii="Times New Roman;Times;serif" w:hAnsi="Times New Roman;Times;serif"/>
          <w:i/>
          <w:sz w:val="20"/>
        </w:rPr>
        <w:t>Property, Plant, and Equipment</w:t>
      </w:r>
      <w:r>
        <w:rPr>
          <w:rFonts w:ascii="Times New Roman;Times;serif" w:hAnsi="Times New Roman;Times;serif"/>
          <w:sz w:val="20"/>
        </w:rPr>
        <w:t>” and an addition of one closed location was added to the disposal group. We expect to sell these stores by the end of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Held-for-Sale Criteria and Impairment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assets and liabilities of the disposal group are classified as held for sale in the unaudited Condensed Consolidated Balance Sheet as of June 30, 2026, and are measured at the lower of their carrying amount or fair value less costs to sell.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actively initiated a program to find a buyer and is marketing the property at a price reasonable in relation to its current fair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sale is considered highly probable and is expected to be completed within one</w:t>
            </w:r>
            <w:r>
              <w:rPr>
                <w:caps w:val="false"/>
                <w:smallCaps w:val="false"/>
              </w:rPr>
              <w:t> </w:t>
            </w:r>
            <w:r>
              <w:rPr>
                <w:rFonts w:ascii="Times New Roman;Times;serif" w:hAnsi="Times New Roman;Times;serif"/>
                <w:b w:val="false"/>
                <w:i w:val="false"/>
                <w:caps w:val="false"/>
                <w:smallCaps w:val="false"/>
                <w:sz w:val="20"/>
              </w:rPr>
              <w:t>year. Management is committed to the plan, and it is unlikely that significant changes will be made or that the plan will be withdrawn.</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classification as held for sale, the Company ceased amortizing the long-lived assets.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carrying amounts of the major classes of assets and liabilities included in the disposal group classified as held for sale are as follows:</w:t>
      </w:r>
    </w:p>
    <w:p>
      <w:pPr>
        <w:pStyle w:val="TextBody"/>
        <w:bidi w:val="0"/>
        <w:spacing w:before="0" w:after="0"/>
        <w:ind w:left="0" w:right="0" w:hanging="0"/>
        <w:jc w:val="left"/>
        <w:rPr/>
      </w:pPr>
      <w:r>
        <w:rPr/>
        <w:t>​</w:t>
      </w:r>
    </w:p>
    <w:tbl>
      <w:tblPr>
        <w:tblW w:w="6110" w:type="dxa"/>
        <w:jc w:val="left"/>
        <w:tblInd w:w="0" w:type="dxa"/>
        <w:tblLayout w:type="fixed"/>
        <w:tblCellMar>
          <w:top w:w="0" w:type="dxa"/>
          <w:left w:w="0" w:type="dxa"/>
          <w:bottom w:w="0" w:type="dxa"/>
          <w:right w:w="0" w:type="dxa"/>
        </w:tblCellMar>
      </w:tblPr>
      <w:tblGrid>
        <w:gridCol w:w="2416"/>
        <w:gridCol w:w="346"/>
        <w:gridCol w:w="346"/>
        <w:gridCol w:w="1110"/>
        <w:gridCol w:w="346"/>
        <w:gridCol w:w="325"/>
        <w:gridCol w:w="1221"/>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534160" cy="175260"/>
                      <wp:effectExtent l="0" t="0" r="0" b="0"/>
                      <wp:wrapNone/>
                      <wp:docPr id="130" name="Frame130"/>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04850" cy="175260"/>
                      <wp:effectExtent l="0" t="0" r="0" b="0"/>
                      <wp:wrapNone/>
                      <wp:docPr id="133" name="Frame133"/>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6375" cy="175260"/>
                      <wp:effectExtent l="0" t="0" r="0" b="0"/>
                      <wp:wrapNone/>
                      <wp:docPr id="135" name="Frame135"/>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75335" cy="175260"/>
                      <wp:effectExtent l="0" t="0" r="0" b="0"/>
                      <wp:wrapNone/>
                      <wp:docPr id="136" name="Frame136"/>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Amount </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Amount </w: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1"/>
              <w:ind w:left="0" w:right="0" w:hanging="0"/>
              <w:jc w:val="center"/>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r>
      <w:tr>
        <w:trPr/>
        <w:tc>
          <w:tcPr>
            <w:tcW w:w="24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1"/>
              <w:ind w:left="0" w:right="0" w:hanging="0"/>
              <w:jc w:val="center"/>
              <w:rPr/>
            </w:pPr>
            <w:r>
              <w:rPr/>
              <w:t>​</w:t>
            </w:r>
          </w:p>
        </w:tc>
        <w:tc>
          <w:tcPr>
            <w:tcW w:w="14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1,460</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15,255</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15,041</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 held for sale</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16,715</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16,501</w:t>
            </w:r>
          </w:p>
        </w:tc>
      </w:tr>
    </w:tbl>
    <w:p>
      <w:pPr>
        <w:pStyle w:val="TextBody"/>
        <w:bidi w:val="0"/>
        <w:spacing w:before="0" w:after="240"/>
        <w:ind w:left="0" w:right="0" w:hanging="0"/>
        <w:jc w:val="both"/>
        <w:rPr/>
      </w:pPr>
      <w:r>
        <w:rPr/>
        <w:t>​</w:t>
      </w:r>
    </w:p>
    <w:tbl>
      <w:tblPr>
        <w:tblW w:w="5680" w:type="dxa"/>
        <w:jc w:val="left"/>
        <w:tblInd w:w="0" w:type="dxa"/>
        <w:tblLayout w:type="fixed"/>
        <w:tblCellMar>
          <w:top w:w="0" w:type="dxa"/>
          <w:left w:w="0" w:type="dxa"/>
          <w:bottom w:w="0" w:type="dxa"/>
          <w:right w:w="0" w:type="dxa"/>
        </w:tblCellMar>
      </w:tblPr>
      <w:tblGrid>
        <w:gridCol w:w="2506"/>
        <w:gridCol w:w="109"/>
        <w:gridCol w:w="380"/>
        <w:gridCol w:w="1030"/>
        <w:gridCol w:w="109"/>
        <w:gridCol w:w="363"/>
        <w:gridCol w:w="1183"/>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591310" cy="175260"/>
                      <wp:effectExtent l="0" t="0" r="0" b="0"/>
                      <wp:wrapNone/>
                      <wp:docPr id="137" name="Frame137"/>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41300" cy="175260"/>
                      <wp:effectExtent l="0" t="0" r="0" b="0"/>
                      <wp:wrapNone/>
                      <wp:docPr id="139" name="Frame139"/>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54050" cy="175260"/>
                      <wp:effectExtent l="0" t="0" r="0" b="0"/>
                      <wp:wrapNone/>
                      <wp:docPr id="140" name="Frame140"/>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30505" cy="175260"/>
                      <wp:effectExtent l="0" t="0" r="0" b="0"/>
                      <wp:wrapNone/>
                      <wp:docPr id="142" name="Frame142"/>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51205" cy="175260"/>
                      <wp:effectExtent l="0" t="0" r="0" b="0"/>
                      <wp:wrapNone/>
                      <wp:docPr id="143" name="Frame143"/>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Amount</w:t>
            </w:r>
          </w:p>
        </w:tc>
        <w:tc>
          <w:tcPr>
            <w:tcW w:w="109"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Amount</w:t>
            </w:r>
          </w:p>
        </w:tc>
      </w:tr>
      <w:tr>
        <w:trPr/>
        <w:tc>
          <w:tcPr>
            <w:tcW w:w="25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109"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109" w:type="dxa"/>
            <w:tcBorders/>
            <w:vAlign w:val="center"/>
          </w:tcPr>
          <w:p>
            <w:pPr>
              <w:pStyle w:val="TableContents"/>
              <w:bidi w:val="0"/>
              <w:spacing w:before="0" w:after="0"/>
              <w:ind w:left="0" w:right="0" w:hanging="0"/>
              <w:jc w:val="center"/>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retirement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1,422</w:t>
            </w:r>
          </w:p>
        </w:tc>
        <w:tc>
          <w:tcPr>
            <w:tcW w:w="109" w:type="dxa"/>
            <w:tcBorders/>
            <w:shd w:fill="CCEEFF" w:val="clear"/>
            <w:vAlign w:val="center"/>
          </w:tcPr>
          <w:p>
            <w:pPr>
              <w:pStyle w:val="TableContents"/>
              <w:bidi w:val="0"/>
              <w:spacing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held for sale</w:t>
            </w:r>
          </w:p>
        </w:tc>
        <w:tc>
          <w:tcPr>
            <w:tcW w:w="109"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1,422</w:t>
            </w:r>
          </w:p>
        </w:tc>
        <w:tc>
          <w:tcPr>
            <w:tcW w:w="109" w:type="dxa"/>
            <w:tcBorders/>
            <w:vAlign w:val="center"/>
          </w:tcPr>
          <w:p>
            <w:pPr>
              <w:pStyle w:val="TableContents"/>
              <w:bidi w:val="0"/>
              <w:spacing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1,422</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was no impairment charge recorded for the three and six months ended June 30, 2026, nor the three and six months ended June 30, 2025, as the fair value exceeded carrying value.</w:t>
      </w:r>
    </w:p>
    <w:p>
      <w:pPr>
        <w:pStyle w:val="TextBody"/>
        <w:bidi w:val="0"/>
        <w:spacing w:before="0" w:after="240"/>
        <w:ind w:left="0" w:right="0" w:hanging="0"/>
        <w:jc w:val="both"/>
        <w:rPr/>
      </w:pPr>
      <w:r>
        <w:rPr/>
        <w:t>​</w:t>
      </w:r>
    </w:p>
    <w:tbl>
      <w:tblPr>
        <w:tblW w:w="2522" w:type="dxa"/>
        <w:jc w:val="left"/>
        <w:tblInd w:w="0" w:type="dxa"/>
        <w:tblLayout w:type="fixed"/>
        <w:tblCellMar>
          <w:top w:w="0" w:type="dxa"/>
          <w:left w:w="0" w:type="dxa"/>
          <w:bottom w:w="0" w:type="dxa"/>
          <w:right w:w="0" w:type="dxa"/>
        </w:tblCellMar>
      </w:tblPr>
      <w:tblGrid>
        <w:gridCol w:w="271"/>
        <w:gridCol w:w="225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2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each of the three  and six months ended June 30, 2026, the Company disposed of certain assets for total proceeds of $618 in both periods, resulting in a loss of $488 and $499, respectively. During the three and six months ended June 30, 2025, the Company disposed of certain assets for total proceeds of $2,837 and $3,753, respectively, resulting in a gain of $1,834 and $2,384, respectively.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bookmarkStart w:id="1104" w:name="Tc_Bcmouesg10OZ3e34EFosGA_9_5"/>
      <w:bookmarkStart w:id="1105" w:name="Tc_SsKrkBg8oUiA2dYYpxSO6A_9_2"/>
      <w:bookmarkStart w:id="1106" w:name="Tc_lw58Yp_Zr0KTtggqGWnDLA_9_0"/>
      <w:bookmarkStart w:id="1107" w:name="Tc_FjF1PCzVeE-u1BKr3TPPhw_8_0"/>
      <w:bookmarkStart w:id="1108" w:name="Tc_Ouudyl6t_USTDRbRJRpnwA_6_0"/>
      <w:bookmarkStart w:id="1109" w:name="Tc_rfHQFywD9EiQkrDdC-Rg2g_5_0"/>
      <w:bookmarkStart w:id="1110" w:name="Tc_luaxS3sd0Uq0l_VQQGpfAQ_4_0"/>
      <w:bookmarkStart w:id="1111" w:name="Tc_N0_tPnikHEWuaEa3n5A7VQ_3_0"/>
      <w:bookmarkStart w:id="1112" w:name="Tc_8FLOJ0Qty0m-6YKhCCKAtg_2_5"/>
      <w:bookmarkStart w:id="1113" w:name="Tc_SchkmhMX-0CxZ6d1oR6H-Q_2_2"/>
      <w:bookmarkStart w:id="1114" w:name="Tc_XbPtrgC-ykSSW3c7GTN_aw_2_0"/>
      <w:bookmarkStart w:id="1115" w:name="Tc_b6DD2Tfh10ya6ybdmf9uRw_1_5"/>
      <w:bookmarkStart w:id="1116" w:name="Tc_8ofVdf8U_0Saf_KEUKL8HQ_1_2"/>
      <w:bookmarkEnd w:id="1104"/>
      <w:bookmarkEnd w:id="1105"/>
      <w:bookmarkEnd w:id="1106"/>
      <w:bookmarkEnd w:id="1107"/>
      <w:bookmarkEnd w:id="1108"/>
      <w:bookmarkEnd w:id="1109"/>
      <w:bookmarkEnd w:id="1110"/>
      <w:bookmarkEnd w:id="1111"/>
      <w:bookmarkEnd w:id="1112"/>
      <w:bookmarkEnd w:id="1113"/>
      <w:bookmarkEnd w:id="1114"/>
      <w:bookmarkEnd w:id="1115"/>
      <w:bookmarkEnd w:id="1116"/>
      <w:r>
        <w:rPr>
          <w:rFonts w:ascii="Times New Roman;Times;serif" w:hAnsi="Times New Roman;Times;serif"/>
          <w:sz w:val="20"/>
        </w:rPr>
        <w:t>Property and equipment consist of the following:</w:t>
      </w:r>
    </w:p>
    <w:p>
      <w:pPr>
        <w:pStyle w:val="TextBody"/>
        <w:bidi w:val="0"/>
        <w:spacing w:before="0" w:after="0"/>
        <w:ind w:left="0" w:right="0" w:hanging="0"/>
        <w:jc w:val="left"/>
        <w:rPr/>
      </w:pPr>
      <w:r>
        <w:rPr/>
        <w:t>​</w:t>
      </w:r>
    </w:p>
    <w:tbl>
      <w:tblPr>
        <w:tblW w:w="7476" w:type="dxa"/>
        <w:jc w:val="left"/>
        <w:tblInd w:w="0" w:type="dxa"/>
        <w:tblLayout w:type="fixed"/>
        <w:tblCellMar>
          <w:top w:w="0" w:type="dxa"/>
          <w:left w:w="0" w:type="dxa"/>
          <w:bottom w:w="0" w:type="dxa"/>
          <w:right w:w="0" w:type="dxa"/>
        </w:tblCellMar>
      </w:tblPr>
      <w:tblGrid>
        <w:gridCol w:w="4111"/>
        <w:gridCol w:w="346"/>
        <w:gridCol w:w="211"/>
        <w:gridCol w:w="931"/>
        <w:gridCol w:w="346"/>
        <w:gridCol w:w="272"/>
        <w:gridCol w:w="1259"/>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610485" cy="175260"/>
                      <wp:effectExtent l="0" t="0" r="0" b="0"/>
                      <wp:wrapNone/>
                      <wp:docPr id="144" name="Frame14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91185" cy="175260"/>
                      <wp:effectExtent l="0" t="0" r="0" b="0"/>
                      <wp:wrapNone/>
                      <wp:docPr id="147" name="Frame1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72720" cy="175260"/>
                      <wp:effectExtent l="0" t="0" r="0" b="0"/>
                      <wp:wrapNone/>
                      <wp:docPr id="149" name="Frame149"/>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99465" cy="175260"/>
                      <wp:effectExtent l="0" t="0" r="0" b="0"/>
                      <wp:wrapNone/>
                      <wp:docPr id="150" name="Frame150"/>
                      <a:graphic xmlns:a="http://schemas.openxmlformats.org/drawingml/2006/main">
                        <a:graphicData uri="http://schemas.microsoft.com/office/word/2010/wordprocessingShape">
                          <wps:wsp>
                            <wps:cNvSpPr txBox="1"/>
                            <wps:spPr>
                              <a:xfrm>
                                <a:off x="0" y="0"/>
                                <a:ext cx="799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2025</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186,115</w:t>
            </w:r>
          </w:p>
        </w:tc>
        <w:tc>
          <w:tcPr>
            <w:tcW w:w="346" w:type="dxa"/>
            <w:tcBorders/>
            <w:shd w:fill="CCEEFF" w:val="clear"/>
            <w:vAlign w:val="center"/>
          </w:tcPr>
          <w:p>
            <w:pPr>
              <w:pStyle w:val="TableContents"/>
              <w:bidi w:val="0"/>
              <w:spacing w:before="0" w:after="1"/>
              <w:ind w:left="0" w:right="0" w:hanging="0"/>
              <w:jc w:val="left"/>
              <w:rPr/>
            </w:pPr>
            <w:r>
              <w:rPr/>
              <w:t> </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182,433</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541,674</w:t>
            </w:r>
          </w:p>
        </w:tc>
        <w:tc>
          <w:tcPr>
            <w:tcW w:w="346" w:type="dxa"/>
            <w:tcBorders/>
            <w:vAlign w:val="center"/>
          </w:tcPr>
          <w:p>
            <w:pPr>
              <w:pStyle w:val="TableContents"/>
              <w:bidi w:val="0"/>
              <w:spacing w:before="0" w:after="1"/>
              <w:ind w:left="0" w:right="0" w:hanging="0"/>
              <w:jc w:val="left"/>
              <w:rPr/>
            </w:pPr>
            <w:r>
              <w:rPr/>
              <w:t> </w:t>
            </w:r>
          </w:p>
        </w:tc>
        <w:tc>
          <w:tcPr>
            <w:tcW w:w="272" w:type="dxa"/>
            <w:tcBorders/>
            <w:vAlign w:val="center"/>
          </w:tcPr>
          <w:p>
            <w:pPr>
              <w:pStyle w:val="TableContents"/>
              <w:bidi w:val="0"/>
              <w:spacing w:before="0" w:after="1"/>
              <w:ind w:left="0" w:right="0" w:hanging="0"/>
              <w:jc w:val="left"/>
              <w:rPr/>
            </w:pPr>
            <w:r>
              <w:rPr/>
              <w:t>​</w:t>
            </w:r>
          </w:p>
        </w:tc>
        <w:tc>
          <w:tcPr>
            <w:tcW w:w="12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535,982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228,499</w:t>
            </w:r>
          </w:p>
        </w:tc>
        <w:tc>
          <w:tcPr>
            <w:tcW w:w="346" w:type="dxa"/>
            <w:tcBorders/>
            <w:shd w:fill="CCEEFF" w:val="clear"/>
            <w:vAlign w:val="center"/>
          </w:tcPr>
          <w:p>
            <w:pPr>
              <w:pStyle w:val="TableContents"/>
              <w:bidi w:val="0"/>
              <w:spacing w:before="0" w:after="1"/>
              <w:ind w:left="0" w:right="0" w:hanging="0"/>
              <w:jc w:val="left"/>
              <w:rPr/>
            </w:pPr>
            <w:r>
              <w:rPr/>
              <w:t> </w:t>
            </w:r>
          </w:p>
        </w:tc>
        <w:tc>
          <w:tcPr>
            <w:tcW w:w="272" w:type="dxa"/>
            <w:tcBorders/>
            <w:shd w:fill="CCEEFF" w:val="clear"/>
            <w:vAlign w:val="center"/>
          </w:tcPr>
          <w:p>
            <w:pPr>
              <w:pStyle w:val="TableContents"/>
              <w:bidi w:val="0"/>
              <w:spacing w:before="0" w:after="1"/>
              <w:ind w:left="0" w:right="0" w:hanging="0"/>
              <w:jc w:val="left"/>
              <w:rPr/>
            </w:pPr>
            <w:r>
              <w:rPr/>
              <w:t>​</w:t>
            </w:r>
          </w:p>
        </w:tc>
        <w:tc>
          <w:tcPr>
            <w:tcW w:w="12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216,717</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Tanks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160,595</w:t>
            </w:r>
          </w:p>
        </w:tc>
        <w:tc>
          <w:tcPr>
            <w:tcW w:w="34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2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158,833</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process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26,419</w:t>
            </w:r>
          </w:p>
        </w:tc>
        <w:tc>
          <w:tcPr>
            <w:tcW w:w="346" w:type="dxa"/>
            <w:tcBorders/>
            <w:shd w:fill="CCEEFF" w:val="clear"/>
            <w:vAlign w:val="center"/>
          </w:tcPr>
          <w:p>
            <w:pPr>
              <w:pStyle w:val="TableContents"/>
              <w:bidi w:val="0"/>
              <w:spacing w:before="0" w:after="1"/>
              <w:ind w:left="0" w:right="0" w:hanging="0"/>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17,530</w:t>
            </w:r>
          </w:p>
        </w:tc>
      </w:tr>
      <w:tr>
        <w:trPr/>
        <w:tc>
          <w:tcPr>
            <w:tcW w:w="4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1,143,302</w:t>
            </w:r>
          </w:p>
        </w:tc>
        <w:tc>
          <w:tcPr>
            <w:tcW w:w="34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2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1,111,495</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(275,113)</w:t>
            </w:r>
          </w:p>
        </w:tc>
        <w:tc>
          <w:tcPr>
            <w:tcW w:w="346" w:type="dxa"/>
            <w:tcBorders/>
            <w:shd w:fill="CCEEFF" w:val="clear"/>
            <w:vAlign w:val="center"/>
          </w:tcPr>
          <w:p>
            <w:pPr>
              <w:pStyle w:val="TableContents"/>
              <w:bidi w:val="0"/>
              <w:spacing w:before="0" w:after="1"/>
              <w:ind w:left="0" w:right="0" w:hanging="0"/>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(242,936)</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868,189</w:t>
            </w:r>
          </w:p>
        </w:tc>
        <w:tc>
          <w:tcPr>
            <w:tcW w:w="346" w:type="dxa"/>
            <w:tcBorders/>
            <w:vAlign w:val="center"/>
          </w:tcPr>
          <w:p>
            <w:pPr>
              <w:pStyle w:val="TableContents"/>
              <w:bidi w:val="0"/>
              <w:spacing w:before="0" w:after="1"/>
              <w:ind w:left="0" w:right="0" w:hanging="0"/>
              <w:jc w:val="left"/>
              <w:rPr/>
            </w:pPr>
            <w:r>
              <w:rPr/>
              <w:t> </w:t>
            </w:r>
          </w:p>
        </w:tc>
        <w:tc>
          <w:tcPr>
            <w:tcW w:w="27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9"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868,559</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Depreciation and amortization expense was $16,429 and $32,228 for the three and six months ended June 30, 2026, respectively. Depreciation and amortization expense was $15,491 and $30,868 for the three and six months ended June 30, 2025, respectively. </w:t>
      </w:r>
    </w:p>
    <w:p>
      <w:pPr>
        <w:pStyle w:val="TextBody"/>
        <w:bidi w:val="0"/>
        <w:spacing w:before="0" w:after="240"/>
        <w:ind w:left="0" w:right="0" w:hanging="0"/>
        <w:jc w:val="both"/>
        <w:rPr/>
      </w:pPr>
      <w:r>
        <w:rPr/>
        <w:t>​</w:t>
      </w:r>
    </w:p>
    <w:tbl>
      <w:tblPr>
        <w:tblW w:w="992" w:type="dxa"/>
        <w:jc w:val="left"/>
        <w:tblInd w:w="0" w:type="dxa"/>
        <w:tblLayout w:type="fixed"/>
        <w:tblCellMar>
          <w:top w:w="0" w:type="dxa"/>
          <w:left w:w="0" w:type="dxa"/>
          <w:bottom w:w="0" w:type="dxa"/>
          <w:right w:w="0" w:type="dxa"/>
        </w:tblCellMar>
      </w:tblPr>
      <w:tblGrid>
        <w:gridCol w:w="271"/>
        <w:gridCol w:w="72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7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and six months periods ended June 30, 2026, and 2025, the Company entered into lease and disbursement agreements (the “BTS Arrangements”) with certain landlords. Under the BTS Arrangements, the Company identifies suitable parcels of land for convenience stores and such sites may be (i) initially owned by the Company and sold to the landlord, (ii) under a binding purchase and sale agreement which is then assigned to the landlord, or (iii) acquired by the landlord directly from a third-party. The Company prepares development, and construction plans which are approved by the landlord. The Company then engages and supervises third-party contractors to complete the construction of the stores which the landlord funds and legally owns. In some cases, the Company may begin construction prior to legal sale to landlord.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landlords are expected to fund the majority of the overall construction costs and related improvements. Each individual lease commences upon the substantial completion of each store, and the rent commencement date is expected to occur simultaneously. The initial term of each lease is approximately 20 years with a Company option to extend for two additional four-year terms. The Company assessed the renewal options and has included periods in the lease term for which renewal is reasonably certain to be exercised. The Company pays base rent to the landlord in an amount determined based on the total costs funded by landlord and the base rent payments increase 2.0% annually. The Company has a right of first offer to purchase properties at a price determined by the landlord. The Company cannot exercise its right of first refusal without action first taken by the landlord. Thus, the Company does not control the asset, and the right of first refusal is not a repurchase option under ASC 606. During the term, the Company will also pay all operating expenses, taxes, and any other expenses payable under each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finished construction at one store and two stores under the BTS Arrangements during the three  and six months ended June 30, 2026, respectively. The respective leases commenced and are included as components of the Company’s initial operating lease liabilities in the amount of $14,934 and initial Right-of-use assets in the amount of $15,144 as of June 30, 2026, in the accompanying unaudited 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bookmarkStart w:id="1117" w:name="Tc_T9OEjGnwXU-Xwj_AC12Abg_10_5"/>
      <w:bookmarkStart w:id="1118" w:name="Tc_sGER_8fiK0OViRMBsrYsUw_10_2"/>
      <w:bookmarkStart w:id="1119" w:name="Tc_hJA7LQjd4UyPfSQ3h2Kdpw_10_0"/>
      <w:bookmarkStart w:id="1120" w:name="Tc_2mZKCW3uX06ZjAql6uXZ1Q_9_0"/>
      <w:bookmarkStart w:id="1121" w:name="Tc_lTuHgbpVnEyQkNTi_UE2GA_8_0"/>
      <w:bookmarkStart w:id="1122" w:name="Tc_CxoAv_eJ2kSLyiZOZqgk_A_7_0"/>
      <w:bookmarkStart w:id="1123" w:name="Tc_nXOp-lp6pk68RsLn1wjFmQ_6_0"/>
      <w:bookmarkStart w:id="1124" w:name="Tc_wVotRNsgTEiaJRPew86J8w_5_0"/>
      <w:bookmarkStart w:id="1125" w:name="Tc_swG_hA9hBE23sA0nna47IQ_4_0"/>
      <w:bookmarkStart w:id="1126" w:name="Tc_dZHnqZLqlkOquJlj6tiHxg_3_0"/>
      <w:bookmarkStart w:id="1127" w:name="Tc_KwDx78eSrEqecyVXJ1aUZA_2_5"/>
      <w:bookmarkStart w:id="1128" w:name="Tc_vE4NYR6KMUG7fbEPgjbE_A_2_2"/>
      <w:bookmarkStart w:id="1129" w:name="Tc_8a-tTec0O0mceJmjvsYQxg_2_0"/>
      <w:bookmarkStart w:id="1130" w:name="Tc_V1WJHhIaj0CEhutGhsYV3g_1_5"/>
      <w:bookmarkStart w:id="1131" w:name="Tc_sJfPelb6NESOpgPayU1YJw_1_2"/>
      <w:bookmarkStart w:id="1132" w:name="Tc_tmteBuNOTEyIQJK21gAzJQ_1_0"/>
      <w:bookmarkStart w:id="1133" w:name="Tc_z81AVpt2z0uMX8whIHQqRg_8_8"/>
      <w:bookmarkStart w:id="1134" w:name="Tc_QUotveqU20GhkslF8qJaOA_8_4"/>
      <w:bookmarkStart w:id="1135" w:name="Tc_597vnz7g1UCFWwfla0YLDQ_8_0"/>
      <w:bookmarkStart w:id="1136" w:name="Tc_mWqrYyXKkkS_oGHuhd2gcQ_7_8"/>
      <w:bookmarkStart w:id="1137" w:name="Tc_uVfmvDwbo0SAyxtbj9s9NQ_7_4"/>
      <w:bookmarkStart w:id="1138" w:name="Tc_Up6cgO3HIEuM9yTXrb8N_g_7_0"/>
      <w:bookmarkStart w:id="1139" w:name="Tc_HuinziPFmEG8iKpmz7_AVA_6_8"/>
      <w:bookmarkStart w:id="1140" w:name="Tc_tbzI4xlISkeYYrlho4Ccsw_6_4"/>
      <w:bookmarkStart w:id="1141" w:name="Tc_8BaKh74yu0qE77zqXCpzsg_6_0"/>
      <w:bookmarkStart w:id="1142" w:name="Tc_55j6HYiCcU2hICTcKdO6iA_5_8"/>
      <w:bookmarkStart w:id="1143" w:name="Tc_QSEAQTst90uU3QOrJHqKAA_5_4"/>
      <w:bookmarkStart w:id="1144" w:name="Tc_IIEJtocha0K754ea_wK1BQ_5_0"/>
      <w:bookmarkStart w:id="1145" w:name="Tc_k1inlRYmk0GMiWDvgnz1IQ_4_6"/>
      <w:bookmarkStart w:id="1146" w:name="Tc_ebf34B1AEk-L149DEvT50Q_4_2"/>
      <w:bookmarkStart w:id="1147" w:name="Tc_6-lJLP4gcke4Q7BeHDtv1w_4_0"/>
      <w:bookmarkStart w:id="1148" w:name="Tc_epGKs4cG10y03vyfNW5l9w_3_6"/>
      <w:bookmarkStart w:id="1149" w:name="Tc_akCeCLFKwke-6aBA9MUUeQ_3_2"/>
      <w:bookmarkStart w:id="1150" w:name="Tc_FPvqXoSnXEmAnabtTK0Okg_3_0"/>
      <w:bookmarkStart w:id="1151" w:name="Tc_d97Ht7iRiUOWu2JTwBnzIw_2_6"/>
      <w:bookmarkStart w:id="1152" w:name="Tc_LDyDGmwGDEKJKFDeB23ioQ_2_2"/>
      <w:bookmarkStart w:id="1153" w:name="Tc_6u6buV_QsE-oCRL5UdeBBQ_2_0"/>
      <w:bookmarkStart w:id="1154" w:name="Tc_HfgyrDVNYkmm4iQowB2AsQ_1_7"/>
      <w:bookmarkStart w:id="1155" w:name="Tc_6BV6p0CHC02Ns63DclcwCg_1_3"/>
      <w:bookmarkStart w:id="1156" w:name="Tc_0UumygLvdU6zSXQsfbN2iA_1_0"/>
      <w:bookmarkStart w:id="1157" w:name="Tc_CIWdjSpnOUWvgi5Al9vwUg_10_11"/>
      <w:bookmarkStart w:id="1158" w:name="Tc_C71jY1hY6UWeSPKHMCWMAg_10_8"/>
      <w:bookmarkStart w:id="1159" w:name="Tc_9Ubr7BaBz06CCe1UjbOJew_10_5"/>
      <w:bookmarkStart w:id="1160" w:name="Tc_tnrRNBvGbEO0_zpPm8Q03Q_10_2"/>
      <w:bookmarkStart w:id="1161" w:name="Tc_egh15dgDz0K-OgMQ-tzjSQ_10_0"/>
      <w:bookmarkStart w:id="1162" w:name="Tc_nxalaUYAUUWzu9P-VLVZMg_9_0"/>
      <w:bookmarkStart w:id="1163" w:name="Tc_fxRvhF6_BUWqZf5U-gbqwg_8_0"/>
      <w:bookmarkStart w:id="1164" w:name="Tc_4ZVvI_sqo0OlOR_2uXwPWQ_7_0"/>
      <w:bookmarkStart w:id="1165" w:name="Tc_HgU8euKre0G75wUFHDX8bw_6_0"/>
      <w:bookmarkStart w:id="1166" w:name="Tc_ftl8AJBpd0mHDSiwnQYlGg_5_11"/>
      <w:bookmarkStart w:id="1167" w:name="Tc_xY10H5Km-ECWrhzrHIs6oA_5_8"/>
      <w:bookmarkStart w:id="1168" w:name="Tc_DBbX1rbjmUiggWq1NJ3beA_5_5"/>
      <w:bookmarkStart w:id="1169" w:name="Tc_OV6-kbVr80Ko6BbjrMQIgw_5_2"/>
      <w:bookmarkStart w:id="1170" w:name="Tc_kPn8gwY7z02uXBPBHqcfsg_5_0"/>
      <w:bookmarkStart w:id="1171" w:name="Tc_1rwVEVNSLkSx3iQOwjYopw_4_0"/>
      <w:bookmarkStart w:id="1172" w:name="Tc_4nDA8kbq7kCMow7iwHtwHg_3_11"/>
      <w:bookmarkStart w:id="1173" w:name="Tc_qbmkVJQz7EOvCo-RRiBMkA_3_8"/>
      <w:bookmarkStart w:id="1174" w:name="Tc_J3Qt3bZuoUKh5xNw4WXOBg_3_5"/>
      <w:bookmarkStart w:id="1175" w:name="Tc_H7CU40e-z0yODIShvc6idA_3_2"/>
      <w:bookmarkStart w:id="1176" w:name="Tc_NL89FOxHaEKHCuiZqiiBMA_2_9"/>
      <w:bookmarkStart w:id="1177" w:name="Tc_pTVT05BJIUmkJ4KT-1zS1A_2_2"/>
      <w:bookmarkStart w:id="1178" w:name="Tc_2ZViFSKurUGNeQ3Kltygtw_1_9"/>
      <w:bookmarkStart w:id="1179" w:name="Tc_2wKr-IU-Hk-XWSeGWEA1CQ_1_2"/>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r>
        <w:rPr>
          <w:rFonts w:ascii="Times New Roman;Times;serif" w:hAnsi="Times New Roman;Times;serif"/>
          <w:sz w:val="20"/>
        </w:rPr>
        <w:t>Lease costs consist of the following: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lease expenses, including base rent, variable lease costs primarily consisting of rent based on a percentage of sales and common area maintenance are included in the accompanying unaudited Condensed Consolidated Statements of Income as follows:</w:t>
      </w:r>
    </w:p>
    <w:p>
      <w:pPr>
        <w:pStyle w:val="TextBody"/>
        <w:bidi w:val="0"/>
        <w:spacing w:before="0" w:after="240"/>
        <w:ind w:left="0" w:right="0" w:hanging="0"/>
        <w:jc w:val="both"/>
        <w:rPr/>
      </w:pPr>
      <w:r>
        <w:rPr/>
        <w:t>​</w:t>
      </w:r>
    </w:p>
    <w:tbl>
      <w:tblPr>
        <w:tblW w:w="7511" w:type="dxa"/>
        <w:jc w:val="left"/>
        <w:tblInd w:w="0" w:type="dxa"/>
        <w:tblLayout w:type="fixed"/>
        <w:tblCellMar>
          <w:top w:w="0" w:type="dxa"/>
          <w:left w:w="0" w:type="dxa"/>
          <w:bottom w:w="0" w:type="dxa"/>
          <w:right w:w="0" w:type="dxa"/>
        </w:tblCellMar>
      </w:tblPr>
      <w:tblGrid>
        <w:gridCol w:w="2911"/>
        <w:gridCol w:w="346"/>
        <w:gridCol w:w="211"/>
        <w:gridCol w:w="571"/>
        <w:gridCol w:w="346"/>
        <w:gridCol w:w="211"/>
        <w:gridCol w:w="571"/>
        <w:gridCol w:w="109"/>
        <w:gridCol w:w="211"/>
        <w:gridCol w:w="676"/>
        <w:gridCol w:w="346"/>
        <w:gridCol w:w="211"/>
        <w:gridCol w:w="79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848485" cy="175260"/>
                      <wp:effectExtent l="0" t="0" r="0" b="0"/>
                      <wp:wrapNone/>
                      <wp:docPr id="151" name="Frame151"/>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62585" cy="175260"/>
                      <wp:effectExtent l="0" t="0" r="0" b="0"/>
                      <wp:wrapNone/>
                      <wp:docPr id="154" name="Frame15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62585" cy="175260"/>
                      <wp:effectExtent l="0" t="0" r="0" b="0"/>
                      <wp:wrapNone/>
                      <wp:docPr id="157" name="Frame1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29260" cy="175260"/>
                      <wp:effectExtent l="0" t="0" r="0" b="0"/>
                      <wp:wrapNone/>
                      <wp:docPr id="160" name="Frame1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02285" cy="175260"/>
                      <wp:effectExtent l="0" t="0" r="0" b="0"/>
                      <wp:wrapNone/>
                      <wp:docPr id="163" name="Frame16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20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20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9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  ​</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 costs,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14,110</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Weighted-average remaining lease terms and weighted-average discount rates for outstanding leases were as follows:</w:t>
      </w:r>
    </w:p>
    <w:p>
      <w:pPr>
        <w:pStyle w:val="TextBody"/>
        <w:bidi w:val="0"/>
        <w:spacing w:before="0" w:after="240"/>
        <w:ind w:left="0" w:right="0" w:hanging="0"/>
        <w:jc w:val="both"/>
        <w:rPr/>
      </w:pPr>
      <w:r>
        <w:rPr/>
        <w:t>​</w:t>
      </w:r>
    </w:p>
    <w:tbl>
      <w:tblPr>
        <w:tblW w:w="7860" w:type="dxa"/>
        <w:jc w:val="left"/>
        <w:tblInd w:w="0" w:type="dxa"/>
        <w:tblLayout w:type="fixed"/>
        <w:tblCellMar>
          <w:top w:w="0" w:type="dxa"/>
          <w:left w:w="0" w:type="dxa"/>
          <w:bottom w:w="0" w:type="dxa"/>
          <w:right w:w="0" w:type="dxa"/>
        </w:tblCellMar>
      </w:tblPr>
      <w:tblGrid>
        <w:gridCol w:w="4726"/>
        <w:gridCol w:w="109"/>
        <w:gridCol w:w="211"/>
        <w:gridCol w:w="676"/>
        <w:gridCol w:w="571"/>
        <w:gridCol w:w="109"/>
        <w:gridCol w:w="211"/>
        <w:gridCol w:w="676"/>
        <w:gridCol w:w="571"/>
      </w:tblGrid>
      <w:tr>
        <w:trPr/>
        <w:tc>
          <w:tcPr>
            <w:tcW w:w="4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001010" cy="175260"/>
                      <wp:effectExtent l="0" t="0" r="0" b="0"/>
                      <wp:wrapNone/>
                      <wp:docPr id="164" name="Frame164"/>
                      <a:graphic xmlns:a="http://schemas.openxmlformats.org/drawingml/2006/main">
                        <a:graphicData uri="http://schemas.microsoft.com/office/word/2010/wordprocessingShape">
                          <wps:wsp>
                            <wps:cNvSpPr txBox="1"/>
                            <wps:spPr>
                              <a:xfrm>
                                <a:off x="0" y="0"/>
                                <a:ext cx="300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29260" cy="175260"/>
                      <wp:effectExtent l="0" t="0" r="0" b="0"/>
                      <wp:wrapNone/>
                      <wp:docPr id="167" name="Frame1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62585" cy="175260"/>
                      <wp:effectExtent l="0" t="0" r="0" b="0"/>
                      <wp:wrapNone/>
                      <wp:docPr id="168" name="Frame1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29260" cy="175260"/>
                      <wp:effectExtent l="0" t="0" r="0" b="0"/>
                      <wp:wrapNone/>
                      <wp:docPr id="171" name="Frame1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62585" cy="175260"/>
                      <wp:effectExtent l="0" t="0" r="0" b="0"/>
                      <wp:wrapNone/>
                      <wp:docPr id="172" name="Frame1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June 30,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 for 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w:t>
            </w:r>
          </w:p>
        </w:tc>
        <w:tc>
          <w:tcPr>
            <w:tcW w:w="57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 for 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17,661</w:t>
            </w:r>
          </w:p>
        </w:tc>
        <w:tc>
          <w:tcPr>
            <w:tcW w:w="57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14,017</w:t>
            </w:r>
          </w:p>
        </w:tc>
        <w:tc>
          <w:tcPr>
            <w:tcW w:w="571" w:type="dxa"/>
            <w:tcBorders/>
            <w:vAlign w:val="center"/>
          </w:tcPr>
          <w:p>
            <w:pPr>
              <w:pStyle w:val="TableContents"/>
              <w:bidi w:val="0"/>
              <w:spacing w:before="0" w:after="0"/>
              <w:ind w:left="0" w:right="0" w:hanging="0"/>
              <w:jc w:val="left"/>
              <w:rPr/>
            </w:pPr>
            <w:r>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outflows for 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w:t>
            </w:r>
          </w:p>
        </w:tc>
        <w:tc>
          <w:tcPr>
            <w:tcW w:w="57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lease-term - finance lease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w:t>
            </w:r>
          </w:p>
        </w:tc>
        <w:tc>
          <w:tcPr>
            <w:tcW w:w="5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lease-term - operating lease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 - finance lease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5.49</w:t>
            </w:r>
          </w:p>
        </w:tc>
        <w:tc>
          <w:tcPr>
            <w:tcW w:w="5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 - operating lease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7.68</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Future minimum payments under the finance leases and operating leases with initial or remaining terms of one year or more consist of the following as of June 30, 2026:</w:t>
      </w:r>
    </w:p>
    <w:p>
      <w:pPr>
        <w:pStyle w:val="TextBody"/>
        <w:bidi w:val="0"/>
        <w:spacing w:before="0" w:after="240"/>
        <w:ind w:left="0" w:right="0" w:hanging="0"/>
        <w:jc w:val="both"/>
        <w:rPr/>
      </w:pPr>
      <w:r>
        <w:rPr/>
        <w:t>​</w:t>
      </w:r>
    </w:p>
    <w:tbl>
      <w:tblPr>
        <w:tblW w:w="6980" w:type="dxa"/>
        <w:jc w:val="left"/>
        <w:tblInd w:w="0" w:type="dxa"/>
        <w:tblLayout w:type="fixed"/>
        <w:tblCellMar>
          <w:top w:w="0" w:type="dxa"/>
          <w:left w:w="0" w:type="dxa"/>
          <w:bottom w:w="0" w:type="dxa"/>
          <w:right w:w="0" w:type="dxa"/>
        </w:tblCellMar>
      </w:tblPr>
      <w:tblGrid>
        <w:gridCol w:w="3811"/>
        <w:gridCol w:w="346"/>
        <w:gridCol w:w="303"/>
        <w:gridCol w:w="823"/>
        <w:gridCol w:w="346"/>
        <w:gridCol w:w="257"/>
        <w:gridCol w:w="1094"/>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419985" cy="175260"/>
                      <wp:effectExtent l="0" t="0" r="0" b="0"/>
                      <wp:wrapNone/>
                      <wp:docPr id="173" name="Frame173"/>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92405" cy="175260"/>
                      <wp:effectExtent l="0" t="0" r="0" b="0"/>
                      <wp:wrapNone/>
                      <wp:docPr id="175" name="Frame17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22605" cy="175260"/>
                      <wp:effectExtent l="0" t="0" r="0" b="0"/>
                      <wp:wrapNone/>
                      <wp:docPr id="176" name="Frame176"/>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63195" cy="175260"/>
                      <wp:effectExtent l="0" t="0" r="0" b="0"/>
                      <wp:wrapNone/>
                      <wp:docPr id="178" name="Frame17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4690" cy="175260"/>
                      <wp:effectExtent l="0" t="0" r="0" b="0"/>
                      <wp:wrapNone/>
                      <wp:docPr id="179" name="Frame179"/>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Years ending</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346" w:type="dxa"/>
            <w:tcBorders/>
            <w:vAlign w:val="center"/>
          </w:tcPr>
          <w:p>
            <w:pPr>
              <w:pStyle w:val="TableContents"/>
              <w:bidi w:val="0"/>
              <w:spacing w:before="0" w:after="1"/>
              <w:ind w:left="0" w:right="0" w:hanging="0"/>
              <w:jc w:val="center"/>
              <w:rPr/>
            </w:pPr>
            <w:r>
              <w:rPr/>
              <w:t>  ​ ​ ​</w:t>
            </w:r>
          </w:p>
        </w:tc>
        <w:tc>
          <w:tcPr>
            <w:tcW w:w="13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period)</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15,415</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188</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10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31,262</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189</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0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31,272</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189</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10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31,587</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198</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0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32,163</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2,591</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494,667</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3,448</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0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636,366</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amount representing interest</w:t>
            </w:r>
          </w:p>
        </w:tc>
        <w:tc>
          <w:tcPr>
            <w:tcW w:w="3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1,234</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302,448</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net minimum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2,214</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333,918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812" w:type="dxa"/>
        <w:jc w:val="left"/>
        <w:tblInd w:w="0" w:type="dxa"/>
        <w:tblLayout w:type="fixed"/>
        <w:tblCellMar>
          <w:top w:w="0" w:type="dxa"/>
          <w:left w:w="0" w:type="dxa"/>
          <w:bottom w:w="0" w:type="dxa"/>
          <w:right w:w="0" w:type="dxa"/>
        </w:tblCellMar>
      </w:tblPr>
      <w:tblGrid>
        <w:gridCol w:w="271"/>
        <w:gridCol w:w="54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5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April 2, 2021, the Company entered into a credit facility which was subsequently amended on November 23, 2022 (the “2021 Credit Facility”). The 2021 Credit Facility includes a $410,000 term loan (the “2021 Term Loan”) with a seven-year maturity and a $150,000 revolver (the “2021 Revolver”) with a five-year maturity. The 2021 Credit Facility was further amended on May 26, 2023 (the “2023 Amendment”), to replace the benchmark interest rate from LIBOR to SOFR as of July 1, 2023, and to adopt other conforming changes. The Company elected to apply the optional expedient within FASB ASC 848, </w:t>
      </w:r>
      <w:r>
        <w:rPr>
          <w:rFonts w:ascii="Times New Roman;Times;serif" w:hAnsi="Times New Roman;Times;serif"/>
          <w:i/>
          <w:sz w:val="20"/>
        </w:rPr>
        <w:t>Reference Rate Reform</w:t>
      </w:r>
      <w:r>
        <w:rPr>
          <w:rFonts w:ascii="Times New Roman;Times;serif" w:hAnsi="Times New Roman;Times;serif"/>
          <w:sz w:val="20"/>
        </w:rPr>
        <w:t xml:space="preserve">, and determined that the 2023 Amendment was a debt modification in accordance with FASB ASC 470-50, </w:t>
      </w:r>
      <w:r>
        <w:rPr>
          <w:rFonts w:ascii="Times New Roman;Times;serif" w:hAnsi="Times New Roman;Times;serif"/>
          <w:i/>
          <w:sz w:val="20"/>
        </w:rPr>
        <w:t>Debt – Modifications and Extinguishments</w:t>
      </w:r>
      <w:r>
        <w:rPr>
          <w:rFonts w:ascii="Times New Roman;Times;serif" w:hAnsi="Times New Roman;Times;serif"/>
          <w:sz w:val="20"/>
        </w:rPr>
        <w:t>. There was no material impact to the accompanying unaudited Condensed Consolidated Financial Statements for these changes.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bookmarkStart w:id="1180" w:name="Tc_TMXJYCP9HkSBqfrBJ1Hksw_6_11"/>
      <w:bookmarkStart w:id="1181" w:name="Tc_xOaKR8YZcU6BlKaoZlBjUQ_6_8"/>
      <w:bookmarkStart w:id="1182" w:name="Tc_sXMXbmfSpku4N3OI34N1Dw_6_5"/>
      <w:bookmarkStart w:id="1183" w:name="Tc_nP5qxgWILkqNxp8OfwfLXw_6_2"/>
      <w:bookmarkStart w:id="1184" w:name="Tc_M7c3xES6pE-v2XqajKF2bg_6_0"/>
      <w:bookmarkStart w:id="1185" w:name="Tc_AIFG7XSt-k-mVdvOaI_gZA_5_0"/>
      <w:bookmarkStart w:id="1186" w:name="Tc_YLHJuvBT8kCGEsm0ff2Pvw_4_11"/>
      <w:bookmarkStart w:id="1187" w:name="Tc_6VpnHj-c3Uq6LhDQ2ii7NQ_4_8"/>
      <w:bookmarkStart w:id="1188" w:name="Tc_m7ejIdxnVUmVmu9LKi7rYA_4_5"/>
      <w:bookmarkStart w:id="1189" w:name="Tc_Wo2moVx1XkeQRCckx1iwgQ_4_2"/>
      <w:bookmarkStart w:id="1190" w:name="Tc_QGBPDzagFkWZ_3EbVR9yOg_4_0"/>
      <w:bookmarkStart w:id="1191" w:name="Tc_XhAjb0gbW0iznoSba3mrGQ_3_12"/>
      <w:bookmarkStart w:id="1192" w:name="Tc_pK64ZdNYm0ugldJEZMbg9A_3_9"/>
      <w:bookmarkStart w:id="1193" w:name="Tc_a1CE6Z9GIU-6lhVIyyhuPg_3_6"/>
      <w:bookmarkStart w:id="1194" w:name="Tc_OPae5t87XkOmg9UOEVjl1A_3_3"/>
      <w:bookmarkStart w:id="1195" w:name="Tc_ROIv3PpDLEGztkTgiB7S4g_2_8"/>
      <w:bookmarkStart w:id="1196" w:name="Tc_OvCdrCQz1EC3xk7-YwtpHg_2_2"/>
      <w:bookmarkStart w:id="1197" w:name="Tc_2nvEGOf5Rk67826qbteRUg_1_8"/>
      <w:bookmarkStart w:id="1198" w:name="Tc_Y6WIugcZQkWkOoNhjZGa-g_1_2"/>
      <w:bookmarkStart w:id="1199" w:name="Tc_HcmHcrRGvUyHgdJnCnmPbg_5_2"/>
      <w:bookmarkStart w:id="1200" w:name="Tc_szyjLEknfE6dseSG5cUuiQ_5_0"/>
      <w:bookmarkStart w:id="1201" w:name="Tc_3j9r9B7TpkWqMKmXLj48zw_4_0"/>
      <w:bookmarkStart w:id="1202" w:name="Tc_4PMZVaS7PUCKGDK4SCr5kQ_3_0"/>
      <w:bookmarkStart w:id="1203" w:name="Tc_yTOGSaCgQUmVDYV7gKY8qw_2_2"/>
      <w:bookmarkStart w:id="1204" w:name="Tc_RdGl0o79ykeCkOV5JNRf4g_2_0"/>
      <w:bookmarkStart w:id="1205" w:name="Tc_-2b6mtq0o0q6y87uHtfrsA_1_2"/>
      <w:bookmarkStart w:id="1206" w:name="Tc_NE621SH5cUWevLn6ld8v9w_1_0"/>
      <w:bookmarkStart w:id="1207" w:name="_d29ebc9d_5301_4cba_abdd_9fd04ae5945b"/>
      <w:bookmarkStart w:id="1208" w:name="Tc_rJkoPJxgN02DdSD0VhegMA_7_5"/>
      <w:bookmarkStart w:id="1209" w:name="Tc_dApaDCMl_UWqG60f8LrOzw_7_2"/>
      <w:bookmarkStart w:id="1210" w:name="Tc_sQW6tfds8ESmWCKGNrlfgg_7_0"/>
      <w:bookmarkStart w:id="1211" w:name="Tc_4I39KraCE0CvVs3YcV3yjw_6_0"/>
      <w:bookmarkStart w:id="1212" w:name="Tc_Nu2Q8Bc5KU6pm05M21fDGQ_5_0"/>
      <w:bookmarkStart w:id="1213" w:name="Tc_0ZPGPXpy0kimRzy2xZArow_4_0"/>
      <w:bookmarkStart w:id="1214" w:name="Tc_h1a6Qgi87EqUtBILQUTl7A_3_0"/>
      <w:bookmarkStart w:id="1215" w:name="Tc_hN7NBsk8XkuTEmb4NDvPKQ_2_5"/>
      <w:bookmarkStart w:id="1216" w:name="Tc_aBrRY3pOcE2E2sMawdcEhw_2_2"/>
      <w:bookmarkStart w:id="1217" w:name="Tc_-pkZ7QqJaEGaAX6n32yzsQ_2_0"/>
      <w:bookmarkStart w:id="1218" w:name="Tc_aYqiiMB6S0uBpLzJwpprWg_1_5"/>
      <w:bookmarkStart w:id="1219" w:name="Tc_PSHTkFfkzkO1ms0J7dR2hw_1_2"/>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r>
        <w:rPr>
          <w:rFonts w:ascii="Times New Roman;Times;serif" w:hAnsi="Times New Roman;Times;serif"/>
          <w:sz w:val="20"/>
        </w:rPr>
        <w:t>On May 30, 2025, the Company entered into an additional amendment to the Credit Facility with the Existing Revolver Lenders and extended the maturity date of the 2021 Revolver from April 2, 2026, to April 2, 2027 (the “First 2025 Credit Amendment”). On December 18, 2025, the Company entered into an additional amendment to the Credit Facility with the Existing Revolver Lenders (the “Second 2025 Credit Amendment” and together with the First 2025 Credit Amendment, the “2025 Credit Amendments”) and extended the maturity date of the 2021 Revolver from April 2, 2027, to April 2, 2028, lowered the interest rate by 25 basis points, and eliminated an upfront fee of 0.10% for each consenting Existing Revolving Credit Commitment. The Company determined the 2025 Credit Amendments to be debt modifications in accordance with FASB ASC 470-50. The fees associated with the 2025 Credit Amendments were immaterial.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2026, the interest rate under the 2021 Term Loan is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plus</w:t>
      </w:r>
      <w:r>
        <w:rPr>
          <w:rFonts w:ascii="Times New Roman;Times;serif" w:hAnsi="Times New Roman;Times;serif"/>
          <w:sz w:val="20"/>
        </w:rPr>
        <w:t xml:space="preserve"> 350 basis points (7.26% as of June 30, 2026) and the interest rate under the 2021 Revolver is SOFR plus 225 basis points (5.89% as of June 30, 2026). Principal on the 2021 Term Loan is payable in quarterly installments of $1,025, with a balloon payment of the remaining outstanding balance due upon maturity in April 2028. Borrowings on the 2021 Revolver are due upon maturity in April 2028. As of June 30, 2026, the Company has $140,000 available for future borrowings under its 2021 Revolver facility, of which $3,127 is committed to undrawn letters of credit.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Debt components as of June 30, 2026, and December 31, 2025, are summarized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48"/>
        <w:gridCol w:w="346"/>
        <w:gridCol w:w="229"/>
        <w:gridCol w:w="849"/>
        <w:gridCol w:w="346"/>
        <w:gridCol w:w="283"/>
        <w:gridCol w:w="1204"/>
      </w:tblGrid>
      <w:tr>
        <w:trPr/>
        <w:tc>
          <w:tcPr>
            <w:tcW w:w="6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411980" cy="175260"/>
                      <wp:effectExtent l="0" t="0" r="0" b="0"/>
                      <wp:wrapNone/>
                      <wp:docPr id="180" name="Frame180"/>
                      <a:graphic xmlns:a="http://schemas.openxmlformats.org/drawingml/2006/main">
                        <a:graphicData uri="http://schemas.microsoft.com/office/word/2010/wordprocessingShape">
                          <wps:wsp>
                            <wps:cNvSpPr txBox="1"/>
                            <wps:spPr>
                              <a:xfrm>
                                <a:off x="0" y="0"/>
                                <a:ext cx="441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5415" cy="175260"/>
                      <wp:effectExtent l="0" t="0" r="0" b="0"/>
                      <wp:wrapNone/>
                      <wp:docPr id="182" name="Frame182"/>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39115" cy="175260"/>
                      <wp:effectExtent l="0" t="0" r="0" b="0"/>
                      <wp:wrapNone/>
                      <wp:docPr id="183" name="Frame183"/>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79705" cy="175260"/>
                      <wp:effectExtent l="0" t="0" r="0" b="0"/>
                      <wp:wrapNone/>
                      <wp:docPr id="185" name="Frame18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64540" cy="175260"/>
                      <wp:effectExtent l="0" t="0" r="0" b="0"/>
                      <wp:wrapNone/>
                      <wp:docPr id="186" name="Frame186"/>
                      <a:graphic xmlns:a="http://schemas.openxmlformats.org/drawingml/2006/main">
                        <a:graphicData uri="http://schemas.microsoft.com/office/word/2010/wordprocessingShape">
                          <wps:wsp>
                            <wps:cNvSpPr txBox="1"/>
                            <wps:spPr>
                              <a:xfrm>
                                <a:off x="0" y="0"/>
                                <a:ext cx="764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4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31,2025</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2021 Term Loan (effective interest rate of 8.48% and 9.11%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389,500</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391,550</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2021 Revolver (effective interest rate of 6.32% and 7.63% as of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10,000</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399,500</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 </w:t>
            </w:r>
          </w:p>
        </w:tc>
        <w:tc>
          <w:tcPr>
            <w:tcW w:w="12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441,550</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discount and debt issuance costs</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(7,227)</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(9,239)</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maturities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(4,100)</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Debt, net of current maturities, debt discount, and debt issuance costs</w:t>
            </w:r>
          </w:p>
        </w:tc>
        <w:tc>
          <w:tcPr>
            <w:tcW w:w="34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388,173</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428,211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Scheduled principal payments of debts as of June 30, 2026, are as follows:</w:t>
      </w:r>
    </w:p>
    <w:p>
      <w:pPr>
        <w:pStyle w:val="TextBody"/>
        <w:bidi w:val="0"/>
        <w:spacing w:before="0" w:after="240"/>
        <w:ind w:left="0" w:right="0" w:hanging="0"/>
        <w:jc w:val="both"/>
        <w:rPr/>
      </w:pPr>
      <w:r>
        <w:rPr/>
        <w:t>​</w:t>
      </w:r>
    </w:p>
    <w:tbl>
      <w:tblPr>
        <w:tblW w:w="3554" w:type="dxa"/>
        <w:jc w:val="left"/>
        <w:tblInd w:w="0" w:type="dxa"/>
        <w:tblLayout w:type="fixed"/>
        <w:tblCellMar>
          <w:top w:w="0" w:type="dxa"/>
          <w:left w:w="0" w:type="dxa"/>
          <w:bottom w:w="0" w:type="dxa"/>
          <w:right w:w="0" w:type="dxa"/>
        </w:tblCellMar>
      </w:tblPr>
      <w:tblGrid>
        <w:gridCol w:w="2101"/>
        <w:gridCol w:w="346"/>
        <w:gridCol w:w="211"/>
        <w:gridCol w:w="89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4135" cy="175260"/>
                      <wp:effectExtent l="0" t="0" r="0" b="0"/>
                      <wp:wrapNone/>
                      <wp:docPr id="187" name="Frame187"/>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68960" cy="175260"/>
                      <wp:effectExtent l="0" t="0" r="0" b="0"/>
                      <wp:wrapNone/>
                      <wp:docPr id="190" name="Frame19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Years ending</w:t>
            </w:r>
          </w:p>
        </w:tc>
        <w:tc>
          <w:tcPr>
            <w:tcW w:w="346" w:type="dxa"/>
            <w:tcBorders/>
            <w:vAlign w:val="center"/>
          </w:tcPr>
          <w:p>
            <w:pPr>
              <w:pStyle w:val="TableContents"/>
              <w:bidi w:val="0"/>
              <w:spacing w:before="0" w:after="0"/>
              <w:ind w:left="0" w:right="0" w:hanging="0"/>
              <w:jc w:val="center"/>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393,350</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399,500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2021 Term Loan and 2021 Revolver are prepayable in accordance with the loan agreements without a prepayment penalty. In addition to contractually scheduled maturities, if certain excess free cash flow thresholds are achieved, as defined by the 2021 Credit Facility, and there is an outstanding balance on the 2021 Term Loan at the end of the respective calendar year, the Company will be obligated to prepay a certain amount of principal, as defined by the 2021 Credit Facility, within 125 days of the respective calendar year end. The 2021 Credit Facility is guaranteed by the Company. Under the 2021 Credit Facility, the Company is required to maintain compliance with certain financial and non-financial covenants. As of June 30, 2026, the Company was in compliance with its covenants.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activity for debt for the periods presented is as follows:</w:t>
      </w:r>
    </w:p>
    <w:p>
      <w:pPr>
        <w:pStyle w:val="TextBody"/>
        <w:bidi w:val="0"/>
        <w:spacing w:before="0" w:after="240"/>
        <w:ind w:left="0" w:right="0" w:hanging="0"/>
        <w:jc w:val="both"/>
        <w:rPr/>
      </w:pPr>
      <w:r>
        <w:rPr/>
        <w:t>​</w:t>
      </w:r>
    </w:p>
    <w:tbl>
      <w:tblPr>
        <w:tblW w:w="6534" w:type="dxa"/>
        <w:jc w:val="left"/>
        <w:tblInd w:w="0" w:type="dxa"/>
        <w:tblLayout w:type="fixed"/>
        <w:tblCellMar>
          <w:top w:w="0" w:type="dxa"/>
          <w:left w:w="0" w:type="dxa"/>
          <w:bottom w:w="0" w:type="dxa"/>
          <w:right w:w="0" w:type="dxa"/>
        </w:tblCellMar>
      </w:tblPr>
      <w:tblGrid>
        <w:gridCol w:w="2266"/>
        <w:gridCol w:w="346"/>
        <w:gridCol w:w="211"/>
        <w:gridCol w:w="571"/>
        <w:gridCol w:w="109"/>
        <w:gridCol w:w="211"/>
        <w:gridCol w:w="676"/>
        <w:gridCol w:w="146"/>
        <w:gridCol w:w="211"/>
        <w:gridCol w:w="676"/>
        <w:gridCol w:w="109"/>
        <w:gridCol w:w="211"/>
        <w:gridCol w:w="79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438910" cy="175260"/>
                      <wp:effectExtent l="0" t="0" r="0" b="0"/>
                      <wp:wrapNone/>
                      <wp:docPr id="191" name="Frame191"/>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62585" cy="175260"/>
                      <wp:effectExtent l="0" t="0" r="0" b="0"/>
                      <wp:wrapNone/>
                      <wp:docPr id="194" name="Frame1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29260" cy="175260"/>
                      <wp:effectExtent l="0" t="0" r="0" b="0"/>
                      <wp:wrapNone/>
                      <wp:docPr id="197" name="Frame1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92710" cy="175260"/>
                      <wp:effectExtent l="0" t="0" r="0" b="0"/>
                      <wp:wrapNone/>
                      <wp:docPr id="198" name="Frame19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29260" cy="175260"/>
                      <wp:effectExtent l="0" t="0" r="0" b="0"/>
                      <wp:wrapNone/>
                      <wp:docPr id="200" name="Frame2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02285" cy="175260"/>
                      <wp:effectExtent l="0" t="0" r="0" b="0"/>
                      <wp:wrapNone/>
                      <wp:docPr id="203" name="Frame20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77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1"/>
              <w:ind w:left="0" w:right="0" w:hanging="0"/>
              <w:jc w:val="center"/>
              <w:rPr/>
            </w:pPr>
            <w:r>
              <w:rPr/>
              <w:t> </w:t>
            </w:r>
          </w:p>
        </w:tc>
        <w:tc>
          <w:tcPr>
            <w:tcW w:w="199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7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1"/>
              <w:ind w:left="0" w:right="0" w:hanging="0"/>
              <w:jc w:val="center"/>
              <w:rPr/>
            </w:pPr>
            <w:r>
              <w:rPr/>
              <w:t>​</w:t>
            </w:r>
          </w:p>
        </w:tc>
        <w:tc>
          <w:tcPr>
            <w:tcW w:w="199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1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incurred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8,671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21,308</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Amounts capitalized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8,599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17,172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21,308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220" w:name="Tc_jkd0mXzyyU6OQSeiTWWm7Q_5_5"/>
      <w:bookmarkStart w:id="1221" w:name="Tc_LOQfX4ckX0SKbDax2IgSnA_5_2"/>
      <w:bookmarkStart w:id="1222" w:name="Tc_deIhKH9TA0KsUCAscirXPw_5_0"/>
      <w:bookmarkStart w:id="1223" w:name="Tc_0JOQyqSMmUi5VQ-L-coUaQ_4_0"/>
      <w:bookmarkStart w:id="1224" w:name="Tc_FW08U0Dhg0Wj61TAHB67zw_3_0"/>
      <w:bookmarkStart w:id="1225" w:name="Tc_dGnzIRVLXEOOh7fw1baaBw_2_5"/>
      <w:bookmarkStart w:id="1226" w:name="Tc_VBtRV1Lv3kC2dZDJFG-ohQ_2_2"/>
      <w:bookmarkStart w:id="1227" w:name="Tc_I-_SSORap0uJCxp3MYtjoQ_2_0"/>
      <w:bookmarkStart w:id="1228" w:name="Tc_m5xxyIzMXEGeHlBMVXRB7g_1_5"/>
      <w:bookmarkStart w:id="1229" w:name="Tc_vRt2iMRHpUSkrPPmzwAdZw_1_2"/>
      <w:bookmarkStart w:id="1230" w:name="Tc_jkd0mXzyyU6OQSeiTWWm7Q_5_5"/>
      <w:bookmarkStart w:id="1231" w:name="Tc_LOQfX4ckX0SKbDax2IgSnA_5_2"/>
      <w:bookmarkStart w:id="1232" w:name="Tc_deIhKH9TA0KsUCAscirXPw_5_0"/>
      <w:bookmarkStart w:id="1233" w:name="Tc_0JOQyqSMmUi5VQ-L-coUaQ_4_0"/>
      <w:bookmarkStart w:id="1234" w:name="Tc_FW08U0Dhg0Wj61TAHB67zw_3_0"/>
      <w:bookmarkStart w:id="1235" w:name="Tc_dGnzIRVLXEOOh7fw1baaBw_2_5"/>
      <w:bookmarkStart w:id="1236" w:name="Tc_VBtRV1Lv3kC2dZDJFG-ohQ_2_2"/>
      <w:bookmarkStart w:id="1237" w:name="Tc_I-_SSORap0uJCxp3MYtjoQ_2_0"/>
      <w:bookmarkStart w:id="1238" w:name="Tc_m5xxyIzMXEGeHlBMVXRB7g_1_5"/>
      <w:bookmarkStart w:id="1239" w:name="Tc_vRt2iMRHpUSkrPPmzwAdZw_1_2"/>
      <w:bookmarkEnd w:id="1230"/>
      <w:bookmarkEnd w:id="1231"/>
      <w:bookmarkEnd w:id="1232"/>
      <w:bookmarkEnd w:id="1233"/>
      <w:bookmarkEnd w:id="1234"/>
      <w:bookmarkEnd w:id="1235"/>
      <w:bookmarkEnd w:id="1236"/>
      <w:bookmarkEnd w:id="1237"/>
      <w:bookmarkEnd w:id="1238"/>
      <w:bookmarkEnd w:id="1239"/>
    </w:p>
    <w:tbl>
      <w:tblPr>
        <w:tblW w:w="2612" w:type="dxa"/>
        <w:jc w:val="left"/>
        <w:tblInd w:w="0" w:type="dxa"/>
        <w:tblLayout w:type="fixed"/>
        <w:tblCellMar>
          <w:top w:w="0" w:type="dxa"/>
          <w:left w:w="0" w:type="dxa"/>
          <w:bottom w:w="0" w:type="dxa"/>
          <w:right w:w="0" w:type="dxa"/>
        </w:tblCellMar>
      </w:tblPr>
      <w:tblGrid>
        <w:gridCol w:w="271"/>
        <w:gridCol w:w="234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2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Financing obligations, net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2019 Sale-leaseback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a sale in 2019 of 76 retail gasoline stations and convenience stores, the Company entered into sale and leaseback transactions with two different buyer-lessors. The leases provide for the lease of land, buildings, structures, and other improvements on the land, exclusive of storage tanks and fuel equipment. The leases have a twenty-year base term with four successive options to renew the leases for a five-year period on the same terms, covenants, conditions, and rental as the primary non-revocable lease term. The leases have a triple-net structure, which requires the Company to pay substantially all costs associated with the Company’s properties that are subject to the leases, including real estate taxes, insurance, utilities, maintenance, and operating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sale did not meet the criteria for sale accounting as the leases would be classified as finance leases. As a result of not meeting the criteria for sale accounting for these sites, the sale-leaseback transactions are accounted for as a failed sale-leaseback financing obligation. As such, the property and equipment sold and leased back by the Company has not been derecognized and continues to be depreciated. When cash proceeds are exchanged, a failed sale-leaseback financing obligation is equal to the proceeds received for the assets that are sold and then leased back. Accordingly, the Company recognized a financing obligation of $236,894 based on proceeds from the sale. The value of the failed sale-leaseback financing obligations recognized in these transactions was determined to be the fair value of the leased real estate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Company’s incremental borrowing rate at the time resulted in an ending financing obligation that was greater than the expected economic value of the leased property, the Company adjusted the interest rate to the effective yield of 6.2%, that, when applied to the minimum lease payments, produces a present value equal to the price. This will produce no gain or loss at the end of the lease 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rental payments under the lease are allocated between interest expense and principal repayment of the financing obligation using the effective interest method and amortized over the lease term. The failed sale-leaseback obligations will not be reduced to less than the net book value of the leased assets as of the end of the lease 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lieu of recognizing lease expenses for the lease rental payments, the Company incurs interest expense associated with the financing obligation. Interest expense of $3,837 and $7,694 was recorded for the three and six months ended June 30, 2026, respectively, and of $3,803 and $7,635 was recorded for the three and six months ended June 30, 2025, respectively. The financing obligation will amortize through expiration of the leases based upon the lease rental payments which were $504 and $1,001 for the three and six months ended June 30, 2026, respectively, and $474 and $942 for the three and six months ended June 30, 2025, respectively. The rent payable under the lease agreements escalates at the lesser of either 1.5% or 1.5x of the increase in the Consumer Price Index (“CPI”). The estimated future payments in the table below include payments and adjustments to reflect estimated payments as described in the lease agreements. As the annual increases are considered contingent on what the change in CPI will be, the estimated future payments in the table below are not adjusted for minimum annual increases. Contingent payments and payments on account of CPI increases are recorded as interest expense as incurred. The Company incurred $1,276 in financing costs associated with these transactions which were capitalized and are being amortized over the life of the lease.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the financing obligations associated with 2019 sale-leaseback transaction are summarized as follows: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856"/>
        <w:gridCol w:w="346"/>
        <w:gridCol w:w="239"/>
        <w:gridCol w:w="887"/>
        <w:gridCol w:w="346"/>
        <w:gridCol w:w="291"/>
        <w:gridCol w:w="1240"/>
      </w:tblGrid>
      <w:tr>
        <w:trPr/>
        <w:tc>
          <w:tcPr>
            <w:tcW w:w="6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353560" cy="175260"/>
                      <wp:effectExtent l="0" t="0" r="0" b="0"/>
                      <wp:wrapNone/>
                      <wp:docPr id="204" name="Frame204"/>
                      <a:graphic xmlns:a="http://schemas.openxmlformats.org/drawingml/2006/main">
                        <a:graphicData uri="http://schemas.microsoft.com/office/word/2010/wordprocessingShape">
                          <wps:wsp>
                            <wps:cNvSpPr txBox="1"/>
                            <wps:spPr>
                              <a:xfrm>
                                <a:off x="0" y="0"/>
                                <a:ext cx="435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51765" cy="175260"/>
                      <wp:effectExtent l="0" t="0" r="0" b="0"/>
                      <wp:wrapNone/>
                      <wp:docPr id="206" name="Frame20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63245" cy="175260"/>
                      <wp:effectExtent l="0" t="0" r="0" b="0"/>
                      <wp:wrapNone/>
                      <wp:docPr id="207" name="Frame207"/>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84785" cy="175260"/>
                      <wp:effectExtent l="0" t="0" r="0" b="0"/>
                      <wp:wrapNone/>
                      <wp:docPr id="209" name="Frame209"/>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87400" cy="175260"/>
                      <wp:effectExtent l="0" t="0" r="0" b="0"/>
                      <wp:wrapNone/>
                      <wp:docPr id="210" name="Frame210"/>
                      <a:graphic xmlns:a="http://schemas.openxmlformats.org/drawingml/2006/main">
                        <a:graphicData uri="http://schemas.microsoft.com/office/word/2010/wordprocessingShape">
                          <wps:wsp>
                            <wps:cNvSpPr txBox="1"/>
                            <wps:spPr>
                              <a:xfrm>
                                <a:off x="0" y="0"/>
                                <a:ext cx="787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2025</w:t>
            </w:r>
          </w:p>
        </w:tc>
      </w:tr>
      <w:tr>
        <w:trPr/>
        <w:tc>
          <w:tcPr>
            <w:tcW w:w="6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principal payments under financing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224,770</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225,771</w:t>
            </w:r>
          </w:p>
        </w:tc>
      </w:tr>
      <w:tr>
        <w:trPr/>
        <w:tc>
          <w:tcPr>
            <w:tcW w:w="6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maturities of financing obligations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(2,097)</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12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r>
      <w:tr>
        <w:trPr/>
        <w:tc>
          <w:tcPr>
            <w:tcW w:w="6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discount and debt issuance costs, net of accumulated amortization of $422 and $390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(854)</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r>
      <w:tr>
        <w:trPr/>
        <w:tc>
          <w:tcPr>
            <w:tcW w:w="6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Financing Obligation, net of amounts representing current maturities, debt discount, and debt issuance costs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221,819</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0"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222,851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bookmarkStart w:id="1240" w:name="Tc_OR-Ck056g0ypSqkAC9oSkA_6_5"/>
      <w:bookmarkStart w:id="1241" w:name="Tc_jcJ-_9eYkE-Gfhp8jMyo2g_6_2"/>
      <w:bookmarkStart w:id="1242" w:name="Tc_F6uTTGkv2Ean2-qq62KgKw_6_0"/>
      <w:bookmarkStart w:id="1243" w:name="Tc_B8NDFVVnXkWO1JJvujOwvg_5_0"/>
      <w:bookmarkStart w:id="1244" w:name="Tc_wTF1Upg47Uug5Nt4PiY3MA_4_0"/>
      <w:bookmarkStart w:id="1245" w:name="Tc_fWO33VyfDk2Eh0nLJVoToQ_3_0"/>
      <w:bookmarkStart w:id="1246" w:name="Tc_fH03jYcwfkSAKfCXQaqkdQ_2_5"/>
      <w:bookmarkStart w:id="1247" w:name="Tc_oe22urAFFEuRxinHgBBXfA_2_2"/>
      <w:bookmarkStart w:id="1248" w:name="Tc_-pqIKTMlokuaL8ylnWdUEQ_2_0"/>
      <w:bookmarkStart w:id="1249" w:name="Tc_gK2ju8oMT0WZDUo4GPJ8hQ_1_5"/>
      <w:bookmarkStart w:id="1250" w:name="Tc_ePEW8YRsHEOuFYkqkQHcBw_1_2"/>
      <w:bookmarkStart w:id="1251" w:name="Tc_uzfw3yX5ckSEnJ0X-uJqdg_10_2"/>
      <w:bookmarkStart w:id="1252" w:name="Tc_IIzkGd4TS0uAmB1cu2X1ow_10_0"/>
      <w:bookmarkStart w:id="1253" w:name="Tc_80LyUgYgsEq4dwWN8BAW-A_9_0"/>
      <w:bookmarkStart w:id="1254" w:name="Tc_JEGyQD43h0WOA7q-EsD2pg_8_0"/>
      <w:bookmarkStart w:id="1255" w:name="Tc_f8QHeiFRLE6XUf-2k6r6wg_7_0"/>
      <w:bookmarkStart w:id="1256" w:name="Tc_ETLm0G48NkmalVZpg7s03A_6_0"/>
      <w:bookmarkStart w:id="1257" w:name="Tc_NZiNQQ6cWEiAqh0U_XOE9w_5_0"/>
      <w:bookmarkStart w:id="1258" w:name="Tc_E2RXhsTsZk6GI9o4oSR53w_4_0"/>
      <w:bookmarkStart w:id="1259" w:name="Tc_HUn2hX60Tk62zIbnZTgsTg_3_0"/>
      <w:bookmarkStart w:id="1260" w:name="Tc_1v_oDBg_m0edRMzZzFQQWw_2_2"/>
      <w:bookmarkStart w:id="1261" w:name="Tc_PMLfeycAr0a83S90XaL0Yw_2_0"/>
      <w:bookmarkStart w:id="1262" w:name="Tc_HhNS8FoA6E69Ke_CULiAoQ_1_2"/>
      <w:bookmarkStart w:id="1263" w:name="Tc_2a6r97T7mEeTKv74UwS_Kg_1_0"/>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r>
        <w:rPr>
          <w:rFonts w:ascii="Times New Roman;Times;serif" w:hAnsi="Times New Roman;Times;serif"/>
          <w:sz w:val="20"/>
        </w:rPr>
        <w:t>Future minimum payments related to the financing obligations are summarized below:</w:t>
      </w:r>
    </w:p>
    <w:p>
      <w:pPr>
        <w:pStyle w:val="TextBody"/>
        <w:bidi w:val="0"/>
        <w:spacing w:before="0" w:after="240"/>
        <w:ind w:left="0" w:right="0" w:hanging="0"/>
        <w:jc w:val="both"/>
        <w:rPr/>
      </w:pPr>
      <w:r>
        <w:rPr/>
        <w:t>​</w:t>
      </w:r>
    </w:p>
    <w:tbl>
      <w:tblPr>
        <w:tblW w:w="3604" w:type="dxa"/>
        <w:jc w:val="left"/>
        <w:tblInd w:w="0" w:type="dxa"/>
        <w:tblLayout w:type="fixed"/>
        <w:tblCellMar>
          <w:top w:w="0" w:type="dxa"/>
          <w:left w:w="0" w:type="dxa"/>
          <w:bottom w:w="0" w:type="dxa"/>
          <w:right w:w="0" w:type="dxa"/>
        </w:tblCellMar>
      </w:tblPr>
      <w:tblGrid>
        <w:gridCol w:w="2101"/>
        <w:gridCol w:w="346"/>
        <w:gridCol w:w="211"/>
        <w:gridCol w:w="94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4135" cy="175260"/>
                      <wp:effectExtent l="0" t="0" r="0" b="0"/>
                      <wp:wrapNone/>
                      <wp:docPr id="211" name="Frame21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00710" cy="175260"/>
                      <wp:effectExtent l="0" t="0" r="0" b="0"/>
                      <wp:wrapNone/>
                      <wp:docPr id="214" name="Frame21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Years ending</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8,490</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17,110</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17,110</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17,110</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17,110</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503,415</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580,345</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(355,575)</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224,770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Build-to-suit sale-leaseback arrangements (“BTS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2026, and year ended December 31, 2025, the Company entered into BTS Arrangements with buyer-lessors. These transactions resulted in the Company remaining the accounting owner of the land until lease commencement as sale treatment cannot be determined until lease commencement, which is generally upon construction completion and store opening. Accordingly, the proceeds received from the sale of land are recorded as financing obligations until the lease commences and sale treatment can be evaluated.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Classification of the leases as operating leases upon lease commencement permitted sale recognition, allowing the Company to derecognize the associated obligations. The Company recorded a loss on disposal of land under BTS Arrangements of $15 for the three month period ended June 30, 2026, and a gain of $81 for the six months period ended June 30, 2026, and a loss of $64 and $66 for the three and six months ended June 30, 2025,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financing obligation associated with BTS Arrangements are summarized as of June 30, 2026, and December 31, 2025, as follows:</w:t>
      </w:r>
    </w:p>
    <w:p>
      <w:pPr>
        <w:pStyle w:val="TextBody"/>
        <w:bidi w:val="0"/>
        <w:spacing w:before="0" w:after="0"/>
        <w:ind w:left="0" w:right="0" w:hanging="0"/>
        <w:jc w:val="left"/>
        <w:rPr/>
      </w:pPr>
      <w:r>
        <w:rPr/>
        <w:t>​</w:t>
      </w:r>
    </w:p>
    <w:tbl>
      <w:tblPr>
        <w:tblW w:w="9710" w:type="dxa"/>
        <w:jc w:val="left"/>
        <w:tblInd w:w="0" w:type="dxa"/>
        <w:tblLayout w:type="fixed"/>
        <w:tblCellMar>
          <w:top w:w="0" w:type="dxa"/>
          <w:left w:w="0" w:type="dxa"/>
          <w:bottom w:w="0" w:type="dxa"/>
          <w:right w:w="0" w:type="dxa"/>
        </w:tblCellMar>
      </w:tblPr>
      <w:tblGrid>
        <w:gridCol w:w="6361"/>
        <w:gridCol w:w="346"/>
        <w:gridCol w:w="282"/>
        <w:gridCol w:w="844"/>
        <w:gridCol w:w="346"/>
        <w:gridCol w:w="325"/>
        <w:gridCol w:w="1206"/>
      </w:tblGrid>
      <w:tr>
        <w:trPr/>
        <w:tc>
          <w:tcPr>
            <w:tcW w:w="6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039235" cy="175260"/>
                      <wp:effectExtent l="0" t="0" r="0" b="0"/>
                      <wp:wrapNone/>
                      <wp:docPr id="215" name="Frame215"/>
                      <a:graphic xmlns:a="http://schemas.openxmlformats.org/drawingml/2006/main">
                        <a:graphicData uri="http://schemas.microsoft.com/office/word/2010/wordprocessingShape">
                          <wps:wsp>
                            <wps:cNvSpPr txBox="1"/>
                            <wps:spPr>
                              <a:xfrm>
                                <a:off x="0" y="0"/>
                                <a:ext cx="403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79070" cy="175260"/>
                      <wp:effectExtent l="0" t="0" r="0" b="0"/>
                      <wp:wrapNone/>
                      <wp:docPr id="217" name="Frame217"/>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35940" cy="175260"/>
                      <wp:effectExtent l="0" t="0" r="0" b="0"/>
                      <wp:wrapNone/>
                      <wp:docPr id="218" name="Frame218"/>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6375" cy="175260"/>
                      <wp:effectExtent l="0" t="0" r="0" b="0"/>
                      <wp:wrapNone/>
                      <wp:docPr id="220" name="Frame220"/>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65810" cy="175260"/>
                      <wp:effectExtent l="0" t="0" r="0" b="0"/>
                      <wp:wrapNone/>
                      <wp:docPr id="221" name="Frame221"/>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2025</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Beginning, financing obligation under BTS Arrangements</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12,809</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 Additional proceeds from BTS Arrangements, net of debt issuance costs</w:t>
            </w:r>
          </w:p>
        </w:tc>
        <w:tc>
          <w:tcPr>
            <w:tcW w:w="34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 </w:t>
            </w:r>
          </w:p>
        </w:tc>
        <w:tc>
          <w:tcPr>
            <w:tcW w:w="84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2,489</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4,970</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Deferred closing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 </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12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Land considered sold upon commencement</w:t>
            </w:r>
          </w:p>
        </w:tc>
        <w:tc>
          <w:tcPr>
            <w:tcW w:w="346"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(2,448)</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(17,548)</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Ending, financing obligation under BTS Arrangements</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4727" w:type="dxa"/>
        <w:jc w:val="left"/>
        <w:tblInd w:w="0" w:type="dxa"/>
        <w:tblLayout w:type="fixed"/>
        <w:tblCellMar>
          <w:top w:w="0" w:type="dxa"/>
          <w:left w:w="0" w:type="dxa"/>
          <w:bottom w:w="0" w:type="dxa"/>
          <w:right w:w="0" w:type="dxa"/>
        </w:tblCellMar>
      </w:tblPr>
      <w:tblGrid>
        <w:gridCol w:w="271"/>
        <w:gridCol w:w="445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44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Redeemable senior preferred membership interests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2022, the Company sold 150,000 units of Redeemable Senior Preferred Membership Interests with a stated value of $150,000 for aggregate gross cash proceeds of $147,000. Redeemable Senior Preferred Members had no voting rights but held liquidation preferences and were entitled to receive quarterly distributions and an annual fixed preferred return. On April 23, 2026, the Company used net proceeds from the IPO of $251,523 to fully redeem the outstanding Redeemable Senior Preferred Members equity interest.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9.    Stockholders’ Equity</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Equity structure prior to IPO and Transactions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historically conducted business through Ultimate Parent and its subsidiaries. Yesway, Inc. was formed to become the holding company of Ultimate Parent and had one class of common stock with par value of $0.01 and 100 shares authorized, issued, and outstanding held by the manager of Ultimate Parent’s Board of Directors. Yesway, Inc. incurred minimal expenses for audit, tax compliance, and bank fees from its inception on April 23, 2021 which were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reimbursed by Ultimate Parent through an expense sharing agreement. The outstanding shares were exchanged for one share of Class A common stock at the date of the IPO and Transactions.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Amendment and Restatement of Certificate of Incorporation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21, 2026, the Company filed an Amended and Restated Certificate of Incorporation authorizing 500,000,000 shares of Class A common stock, par value $0.0001, 150,000,000 shares of Class B common stock, par value $0.0001, 10,000,000 shares of preferred stock, par value of $0.0001.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Holders of Class A common stock and Class B common stock are entitled to one </w:t>
      </w:r>
      <w:r>
        <w:rPr>
          <w:rFonts w:ascii="Times New Roman;Times;serif" w:hAnsi="Times New Roman;Times;serif"/>
          <w:b w:val="false"/>
          <w:i w:val="false"/>
          <w:caps w:val="false"/>
          <w:smallCaps w:val="false"/>
          <w:sz w:val="20"/>
        </w:rPr>
        <w:t>vote</w:t>
      </w:r>
      <w:r>
        <w:rPr>
          <w:rFonts w:ascii="Times New Roman;Times;serif" w:hAnsi="Times New Roman;Times;serif"/>
          <w:sz w:val="20"/>
        </w:rPr>
        <w:t xml:space="preserve"> per share and, except as otherwise required, will vote together as a single class on all matters presented to stockholders for their vote or approval, except for certain amendments to the amended and restated certificate of incorporation or as otherwise required by applicable law or the amended and restated certificate of incorporation.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Upon dissolution or liquidation, after full payment of all amounts required to be paid to creditors and to the holders of preferred stock having liquidation preferences, if any, the remaining funds of the Company available for distribution will be divided among the holders of all outstanding shares of Class A and Class B common stock such that the holders shall each be entitled to receive par value per share. Shares of Class A and Class B common stock do not have preemptive, subscription, redemption, or conversion rights.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Class A common stock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Holders of Class A common stock are entitled to declared dividends and pro rata distribution of remaining available assets upon liquidation.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must, at all times, maintain a one-to-one ratio between the number of shares of Class A common stock issued by the Company and the number of LLC Interests owned by the Company (subject to certain exceptions for treasury shares and shares underlying certain convertible or exchangeable securities).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June 30, 2026, there were 31,185,561 shares of Class A common stock issued and outstanding.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Class B common stock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Holders of Class B common stock are not entitled to receive dividends and will not be entitled to receive any distributions upon liquidation, dissolution, or winding up of the Company other than a return of par value.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Shares of Class B common stock will be issued in the future only to the extent necessary to maintain a one-to-one ratio between the number of LLC Interests held by the Continuing Equity Owners and the number of shares of Class B common stock issued to the Continuing Equity Owners. Shares of Class B common stock are transferable only together with an equal number of LLC Interests. Shares of Class B common stock will be cancelled on a one-for-one basis if an existing LLC Interests owner elects to redeem their LLC Interests in exchange for, at the Company’s election, newly issued shares of Class A common stock or cash.</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June 30, 2026, there were 32,009,185 shares of Class B common stock issued and outstanding.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board of directors is authorized to direct the Company to issue one or more series of preferred stock and may determine with respect to any preferred stock, the powers, rights, preferences, privileges and restrictions, including voting rights, dividend rights, conversion rights, redemption privileges, and liquidation preferences, of each series of preferred stock.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no series of preferred stock have been issued.</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b/>
          <w:sz w:val="20"/>
        </w:rPr>
      </w:pPr>
      <w:bookmarkStart w:id="1264" w:name="Tc_bStEr2TINkmBZ2_GwE_hqA_6_0"/>
      <w:bookmarkStart w:id="1265" w:name="Tc_uG9l5WidDUCmLAi7G3pGSQ_5_3"/>
      <w:bookmarkStart w:id="1266" w:name="Tc_Mq0OPROT00mlO2v40IXr4w_5_0"/>
      <w:bookmarkStart w:id="1267" w:name="Tc_K1NdcqfumE2DqhTxpzV4Sg_4_3"/>
      <w:bookmarkStart w:id="1268" w:name="Tc_rMPa33ImW0WRxdDq4wioPQ_4_0"/>
      <w:bookmarkStart w:id="1269" w:name="Tc_TXVeMfWJ_kWLzzt4kZo5dg_3_0"/>
      <w:bookmarkStart w:id="1270" w:name="Tc_MKJc8aPTR0yApRvXuWAxIA_2_3"/>
      <w:bookmarkStart w:id="1271" w:name="Tc_kPhIhAU96UqChkW_5xXfZQ_2_0"/>
      <w:bookmarkStart w:id="1272" w:name="Tc_ePenPCoEEEqlGsVgGFhGgQ_1_3"/>
      <w:bookmarkEnd w:id="1264"/>
      <w:bookmarkEnd w:id="1265"/>
      <w:bookmarkEnd w:id="1266"/>
      <w:bookmarkEnd w:id="1267"/>
      <w:bookmarkEnd w:id="1268"/>
      <w:bookmarkEnd w:id="1269"/>
      <w:bookmarkEnd w:id="1270"/>
      <w:bookmarkEnd w:id="1271"/>
      <w:bookmarkEnd w:id="1272"/>
      <w:r>
        <w:rPr>
          <w:rFonts w:ascii="Times New Roman;Times;serif" w:hAnsi="Times New Roman;Times;serif"/>
          <w:b/>
          <w:sz w:val="20"/>
        </w:rPr>
        <w:t>10.    Equity-Based Compensation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2026 Incentive Award Plan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established the 2026 Incentive Award Plan (the “Plan”) which allows the Company’s board of directors (or an authorized committee to which the board delegates such authority) to grant incentive stock options, stock appreciation rights, restricted stock, restricted stock units, or other stock or cash based awards. The maximum number of shares that may be issued pursuant to awards under the Plan initially is 7,331,369 shares, subject to annual increases as provided by the Plan. No more than 73,313,690 shares may be issued pursuant to the exercise of incentive stock options. Shares issued under the Plan may be authorized but unissued shares, shares purchased on the open market, or treasury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RSUs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Concurrent with the IPO, the Company granted new RSUs to the members of the board of directors and certain employees. The RSUs have a time-based vesting of one year for the members of the board of directors and </w:t>
      </w:r>
      <w:r>
        <w:rPr>
          <w:rFonts w:ascii="Times New Roman;Times;serif" w:hAnsi="Times New Roman;Times;serif"/>
          <w:b w:val="false"/>
          <w:i w:val="false"/>
          <w:caps w:val="false"/>
          <w:smallCaps w:val="false"/>
          <w:sz w:val="20"/>
        </w:rPr>
        <w:t>one</w:t>
      </w:r>
      <w:r>
        <w:rPr>
          <w:rFonts w:ascii="Times New Roman;Times;serif" w:hAnsi="Times New Roman;Times;serif"/>
          <w:sz w:val="20"/>
        </w:rPr>
        <w:t>-third on each of the first three anniversaries of the IPO for employees, in each case, subject to the recipient’s continuous service to the Company, a parent, subsidiary, or affiliate through the applicable vesting date. Both sets of RSUs have a contractual term approximately equivalent to their vesting periods. Upon vesting, the RSUs are subject to settlement in Class A common stock; unvested RSUs are not considered outstanding shares of Class A common stock.</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issued 1,828,000 RSUs with a fair value equal to the fair value of Class A common stock at the time of grant of $21.75 per unit. Total compensation expense for RSUs was approximately $2,542 for the three and six months ended June 30, 2026, of which $113 is included in Selling, general, and administrative expenses and $2,429 is included in Salaries and benefits in the accompanying Condensed Consolidated Statements of Income. As of June 30, 2026, the unamortized compensation cost related to RSUs is $37,217 and is expected to be recognized over a weighted-average period of approximately 2.8 years. There were no forfeitures as of June 30, 2026. The following table summarizes the RSU activity for the six months ended June 30, 2026:</w:t>
      </w:r>
    </w:p>
    <w:p>
      <w:pPr>
        <w:pStyle w:val="TextBody"/>
        <w:bidi w:val="0"/>
        <w:spacing w:before="0" w:after="0"/>
        <w:ind w:left="0" w:right="0" w:hanging="0"/>
        <w:jc w:val="left"/>
        <w:rPr/>
      </w:pPr>
      <w:r>
        <w:rPr/>
        <w:t>​</w:t>
      </w:r>
    </w:p>
    <w:tbl>
      <w:tblPr>
        <w:tblW w:w="4270" w:type="dxa"/>
        <w:jc w:val="left"/>
        <w:tblInd w:w="0" w:type="dxa"/>
        <w:tblLayout w:type="fixed"/>
        <w:tblCellMar>
          <w:top w:w="0" w:type="dxa"/>
          <w:left w:w="0" w:type="dxa"/>
          <w:bottom w:w="0" w:type="dxa"/>
          <w:right w:w="0" w:type="dxa"/>
        </w:tblCellMar>
      </w:tblPr>
      <w:tblGrid>
        <w:gridCol w:w="2701"/>
        <w:gridCol w:w="109"/>
        <w:gridCol w:w="109"/>
        <w:gridCol w:w="135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715135" cy="175260"/>
                      <wp:effectExtent l="0" t="0" r="0" b="0"/>
                      <wp:wrapNone/>
                      <wp:docPr id="222" name="Frame222"/>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Units</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December 31, 2025</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1,828,000</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Unvested at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1,828,000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PSUs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Concurrent with the IPO, the Company granted new PSUs to certain employees. Each PSU was eligible to vest based on the achievement of pre-established stock price hurdles over a performance period of five years. More specifically, 50% of the PSUs will be eligible to vest on the later of (i) the first day following the date on which the 30-day volume weighted average market price of a share of Class A common stock equals or exceeds 1.5x the initial offering price per share of Class A common stock and (ii) the second anniversary of the date the registration statement became effective. The remaining 50% of the PSUs will be eligible to vest on the later of (i) the first day following the date on which the 30-day volume weighted average market price of a share of Class A common stock equals or exceeds 2.0x the initial offering price per share of Class A common stock and (ii) the third anniversary of the date the registration statement became effective.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issued 900,000 PSUs with a fair value equal to $17.20 per unit and 900,000 PSUs with a fair value equal to $13.00 per unit. The fair value of the PSUs was calculated with the contractual term of 5 years as the expected term, estimated volatility of 35% based on observed equity volatility for comparable companies, adjusted for the Company's financial leverage, dividends of $0, and a risk- free rate 3.9% based on the U.S. Constant Maturity Treasury Yield commensurate with the term to the end of the derived service period. Total compensation expense for PSUs was approximately $2,166 for the three and six months ended June 30, 2026, which is included in Salaries and benefits in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bookmarkStart w:id="1273" w:name="Tc_0_pFJUNXwEurpBS7rt08_Q_6_0"/>
      <w:bookmarkStart w:id="1274" w:name="Tc_lapS65PFa0ezrxlBxKa-Ug_5_3"/>
      <w:bookmarkStart w:id="1275" w:name="Tc_jrFWMMJl5ke2w1l1TVkUUw_5_0"/>
      <w:bookmarkStart w:id="1276" w:name="Tc_s4Di3sr3pUODL7cF5_FJrw_4_3"/>
      <w:bookmarkStart w:id="1277" w:name="Tc_KdfEElTBAUi25tOl_4X2rw_4_0"/>
      <w:bookmarkStart w:id="1278" w:name="Tc_h9bsHauSc02Y4DwRER11aQ_3_0"/>
      <w:bookmarkStart w:id="1279" w:name="Tc_uP3rTpejw0-xYBBrLAsdRg_2_3"/>
      <w:bookmarkStart w:id="1280" w:name="Tc_CYdRfvGfCEOh6J1acHLcPg_2_0"/>
      <w:bookmarkStart w:id="1281" w:name="Tc__5OUiUfmyUWlfFtEa-4h_A_1_3"/>
      <w:bookmarkEnd w:id="1273"/>
      <w:bookmarkEnd w:id="1274"/>
      <w:bookmarkEnd w:id="1275"/>
      <w:bookmarkEnd w:id="1276"/>
      <w:bookmarkEnd w:id="1277"/>
      <w:bookmarkEnd w:id="1278"/>
      <w:bookmarkEnd w:id="1279"/>
      <w:bookmarkEnd w:id="1280"/>
      <w:bookmarkEnd w:id="1281"/>
      <w:r>
        <w:rPr>
          <w:rFonts w:ascii="Times New Roman;Times;serif" w:hAnsi="Times New Roman;Times;serif"/>
          <w:sz w:val="20"/>
        </w:rPr>
        <w:t>accompanying Condensed Consolidated Statements of Income. As of June 30, 2026, the unamortized compensation cost related to PSUs is $25,014 and is expected to be recognized over a weighted-average period of approximately 2.3 years. There were no forfeitures as of June 30, 2026. The following table summarizes the PSU activity for the six months ended June 30, 2026:</w:t>
      </w:r>
    </w:p>
    <w:p>
      <w:pPr>
        <w:pStyle w:val="TextBody"/>
        <w:bidi w:val="0"/>
        <w:spacing w:before="0" w:after="0"/>
        <w:ind w:left="0" w:right="0" w:hanging="0"/>
        <w:jc w:val="left"/>
        <w:rPr/>
      </w:pPr>
      <w:r>
        <w:rPr/>
        <w:t>​</w:t>
      </w:r>
    </w:p>
    <w:tbl>
      <w:tblPr>
        <w:tblW w:w="4270" w:type="dxa"/>
        <w:jc w:val="left"/>
        <w:tblInd w:w="0" w:type="dxa"/>
        <w:tblLayout w:type="fixed"/>
        <w:tblCellMar>
          <w:top w:w="0" w:type="dxa"/>
          <w:left w:w="0" w:type="dxa"/>
          <w:bottom w:w="0" w:type="dxa"/>
          <w:right w:w="0" w:type="dxa"/>
        </w:tblCellMar>
      </w:tblPr>
      <w:tblGrid>
        <w:gridCol w:w="2701"/>
        <w:gridCol w:w="109"/>
        <w:gridCol w:w="109"/>
        <w:gridCol w:w="135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715135" cy="175260"/>
                      <wp:effectExtent l="0" t="0" r="0" b="0"/>
                      <wp:wrapNone/>
                      <wp:docPr id="225" name="Frame225"/>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1"/>
              <w:ind w:left="0" w:right="0" w:hanging="0"/>
              <w:jc w:val="left"/>
              <w:rPr/>
            </w:pPr>
            <w:r>
              <w:rPr/>
              <w:t>​</w:t>
            </w:r>
          </w:p>
        </w:tc>
      </w:tr>
      <w:tr>
        <w:trPr/>
        <w:tc>
          <w:tcPr>
            <w:tcW w:w="27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Units</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at December 31, 2025</w:t>
            </w:r>
          </w:p>
        </w:tc>
        <w:tc>
          <w:tcPr>
            <w:tcW w:w="10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pPr>
            <w:r>
              <w:rPr/>
              <w:t>—</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1,800,000</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pPr>
            <w:r>
              <w:rPr/>
              <w:t>—</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Unvested at 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35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1,800,000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282" w:name="Tc_krrpiB5Oz0C1lo_jiE1VEQ_6_2"/>
      <w:bookmarkStart w:id="1283" w:name="Tc_QFYLzMJYzkqTNnjJHmWFug_6_0"/>
      <w:bookmarkStart w:id="1284" w:name="Tc_X-7mmJAON0O9ZPlAbSLJFw_5_0"/>
      <w:bookmarkStart w:id="1285" w:name="Tc_L4Lig1lZ1Ey2pIMxHPHoNA_4_0"/>
      <w:bookmarkStart w:id="1286" w:name="Tc_7jZNWE4UFkKAVIZ3r4mxYQ_3_2"/>
      <w:bookmarkStart w:id="1287" w:name="Tc_O-9s1Sq4R0OlrvQIb2Y9Cg_3_0"/>
      <w:bookmarkStart w:id="1288" w:name="Tc_o-49d3bTqkatifDeozos4A_2_2"/>
      <w:bookmarkStart w:id="1289" w:name="Tc_3u4sp7cx5k-UyjhoCg5olQ_1_2"/>
      <w:bookmarkEnd w:id="1282"/>
      <w:bookmarkEnd w:id="1283"/>
      <w:bookmarkEnd w:id="1284"/>
      <w:bookmarkEnd w:id="1285"/>
      <w:bookmarkEnd w:id="1286"/>
      <w:bookmarkEnd w:id="1287"/>
      <w:bookmarkEnd w:id="1288"/>
      <w:bookmarkEnd w:id="1289"/>
      <w:r>
        <w:rPr>
          <w:rFonts w:ascii="Times New Roman;Times;serif" w:hAnsi="Times New Roman;Times;serif"/>
          <w:b/>
          <w:sz w:val="20"/>
        </w:rPr>
        <w:t>11.    Noncontrolling Interests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23, 2026, the Company used net proceeds from the IPO to indirectly redeem 15,085,561 LLC Interests from the existing LLC Interest owners. As of June 30, 2026, the Company owned 49.3% of Ultimate Parent.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461"/>
        <w:gridCol w:w="109"/>
        <w:gridCol w:w="357"/>
        <w:gridCol w:w="1278"/>
      </w:tblGrid>
      <w:tr>
        <w:trPr/>
        <w:tc>
          <w:tcPr>
            <w:tcW w:w="8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372735" cy="175260"/>
                      <wp:effectExtent l="0" t="0" r="0" b="0"/>
                      <wp:wrapNone/>
                      <wp:docPr id="228" name="Frame228"/>
                      <a:graphic xmlns:a="http://schemas.openxmlformats.org/drawingml/2006/main">
                        <a:graphicData uri="http://schemas.microsoft.com/office/word/2010/wordprocessingShape">
                          <wps:wsp>
                            <wps:cNvSpPr txBox="1"/>
                            <wps:spPr>
                              <a:xfrm>
                                <a:off x="0" y="0"/>
                                <a:ext cx="537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26695" cy="175260"/>
                      <wp:effectExtent l="0" t="0" r="0" b="0"/>
                      <wp:wrapNone/>
                      <wp:docPr id="230" name="Frame230"/>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811530" cy="175260"/>
                      <wp:effectExtent l="0" t="0" r="0" b="0"/>
                      <wp:wrapNone/>
                      <wp:docPr id="231" name="Frame231"/>
                      <a:graphic xmlns:a="http://schemas.openxmlformats.org/drawingml/2006/main">
                        <a:graphicData uri="http://schemas.microsoft.com/office/word/2010/wordprocessingShape">
                          <wps:wsp>
                            <wps:cNvSpPr txBox="1"/>
                            <wps:spPr>
                              <a:xfrm>
                                <a:off x="0" y="0"/>
                                <a:ext cx="811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8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8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13,363</w:t>
            </w:r>
          </w:p>
        </w:tc>
      </w:tr>
      <w:tr>
        <w:trPr/>
        <w:tc>
          <w:tcPr>
            <w:tcW w:w="8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 to non-controlling interests:</w:t>
            </w:r>
          </w:p>
        </w:tc>
        <w:tc>
          <w:tcPr>
            <w:tcW w:w="109"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right"/>
              <w:rPr/>
            </w:pPr>
            <w:r>
              <w:rPr/>
              <w:t>​</w:t>
            </w:r>
          </w:p>
        </w:tc>
      </w:tr>
      <w:tr>
        <w:trPr/>
        <w:tc>
          <w:tcPr>
            <w:tcW w:w="8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from reallocation of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4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 from net income attributable to/from non-controlling interest and transfers to non-controlling interest</w:t>
            </w:r>
          </w:p>
        </w:tc>
        <w:tc>
          <w:tcPr>
            <w:tcW w:w="109" w:type="dxa"/>
            <w:tcBorders/>
            <w:vAlign w:val="center"/>
          </w:tcPr>
          <w:p>
            <w:pPr>
              <w:pStyle w:val="TableContents"/>
              <w:bidi w:val="0"/>
              <w:spacing w:before="0" w:after="0"/>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7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13,333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Issuance of additional LLC Interests</w:t>
      </w:r>
    </w:p>
    <w:p>
      <w:pPr>
        <w:pStyle w:val="TextBody"/>
        <w:bidi w:val="0"/>
        <w:spacing w:before="0" w:after="0"/>
        <w:ind w:left="0" w:right="0" w:hanging="0"/>
        <w:jc w:val="left"/>
        <w:rPr>
          <w:shd w:fill="00FF00" w:val="clear"/>
        </w:rPr>
      </w:pPr>
      <w:r>
        <w:rPr>
          <w:shd w:fill="00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the LLC Agreement, the Company is required to cause Ultimate Parent to issue additional LLC Interests to the Company when the Company issues additional shares of Class A common stock, such that, at all times, the number of LLC Interests held by the Company equals the number of outstanding shares of Class A common stock. The Company must contribute to Ultimate Parent net proceeds and property, if any, received by the Company with respect to the issuance of such additional shares of Class A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Distributions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limited liability company (treated as a partnership for income tax purposes), Ultimate Parent does not incur significant federal, state, or local income taxes, as these are primarily the obligations of its members. As authorized by the LLC Agreement, Ultimate Parent is required to distribute cash, to the extent that Ultimate Parent has available cash, on a pro rata basis, to its members to the extent necessary to cover the members’ tax liabilities, if any, with respect to each member’s share of Ultimate Parent taxable earnings. Ultimate Parent makes such tax distributions to its members quarterly, applied to projected year-to-date taxable income, with a final accounting once actual taxable income or loss has been determined. There were no tax distributions made to non-controlling LLC Interest holders during the three and six months ended June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Distributions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LLC Agreement, the Company has the right to determine when distributions will be made to LLC Interest holders and the amount of any such distributions. If the Company authorizes a distribution, such distribution will be made to the LLC Interest holders (including the Company) pro rata in accordance with the percentages of their respective LLC Interests units.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b/>
          <w:sz w:val="20"/>
        </w:rPr>
      </w:pPr>
      <w:bookmarkStart w:id="1290" w:name="Tc_QnkZoFQGr0WvZoj4koUXAA_19_2"/>
      <w:bookmarkStart w:id="1291" w:name="Tc_9w02iidkhUmHVEZ5e7JHHg_19_0"/>
      <w:bookmarkStart w:id="1292" w:name="Tc_km6wvgs-NkSTV4hA8ngVeA_18_2"/>
      <w:bookmarkStart w:id="1293" w:name="Tc_CJq0rxAMQESxFOgh2SSNSw_18_0"/>
      <w:bookmarkStart w:id="1294" w:name="Tc_9dCwpGb5ZEOm8KcQUH7zYg_16_0"/>
      <w:bookmarkStart w:id="1295" w:name="Tc_YEN9R9c7SkCej2OuGPbxaQ_15_3"/>
      <w:bookmarkStart w:id="1296" w:name="Tc_m7hhK50m50mV9Z62lYYH9Q_15_0"/>
      <w:bookmarkStart w:id="1297" w:name="Tc_9CIEWodT2E6SmYxZ-MxP5A_14_0"/>
      <w:bookmarkStart w:id="1298" w:name="Tc_jRKC5G757USNDfabKNgnxA_13_0"/>
      <w:bookmarkStart w:id="1299" w:name="Tc_6GHidXwPAU6mGyyJhundag_12_0"/>
      <w:bookmarkStart w:id="1300" w:name="Tc_QoAM7ac2ZE6LYisAoJMiUQ_11_0"/>
      <w:bookmarkStart w:id="1301" w:name="Tc_y0Jps-i_XU6fx8kFpOmA3A_9_2"/>
      <w:bookmarkStart w:id="1302" w:name="Tc_JBtlbTQ9okah8xkq9zBJ6Q_9_0"/>
      <w:bookmarkStart w:id="1303" w:name="Tc_xNwijSDoGEOdxiqn9TomHQ_8_3"/>
      <w:bookmarkStart w:id="1304" w:name="Tc_kQeLnrYoCkSxEJNDZjkfEw_8_0"/>
      <w:bookmarkStart w:id="1305" w:name="Tc_aH_dtYPaFEeidSLxtDIqZg_7_0"/>
      <w:bookmarkStart w:id="1306" w:name="Tc_BMluOxfjN06J_G7R4cmG0g_6_0"/>
      <w:bookmarkStart w:id="1307" w:name="Tc_hnrtwAvc4UOL1hROERmTZg_5_2"/>
      <w:bookmarkStart w:id="1308" w:name="Tc_Zx0iBDU2JUu_bope1O0X4A_5_0"/>
      <w:bookmarkStart w:id="1309" w:name="Tc_pqkLm2XM806syDIv1nXjig_4_0"/>
      <w:bookmarkStart w:id="1310" w:name="Tc_xVpeatd2y0OEYXP7uUUeDg_3_0"/>
      <w:bookmarkStart w:id="1311" w:name="Tc_awx9hR-LoECMOYh0cfoxjA_2_0"/>
      <w:bookmarkStart w:id="1312" w:name="Tc_d5jnTYnBaUyrIIX8NQT9Kg_1_3"/>
      <w:bookmarkStart w:id="1313" w:name="Tc_rtlTdu6PREiT66zJ0Dj4VQ_1_0"/>
      <w:bookmarkStart w:id="1314" w:name="_cef00b98_92f8_4064_a684_239d9cd07e7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r>
        <w:rPr>
          <w:rFonts w:ascii="Times New Roman;Times;serif" w:hAnsi="Times New Roman;Times;serif"/>
          <w:b/>
          <w:sz w:val="20"/>
        </w:rPr>
        <w:t>12.    Earnings Per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Basic earnings per share is calculated by dividing the net income or (loss) by the weighted-average number of shares of the Company’s Class A common stock outstanding for the period, without consideration for potential dilutive shares of common stock. The Company’s Class B common stock are not participating securities because holders are not entitled to dividends.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Diluted earnings per share is computed by adjusting the net income available to the Company and the weighted-average number of shares outstanding to give effect to potentially dilutive securities. The Company calculated diluted earnings per share using the treasury stock method for RSUs and the if-converted method for LLC Interests which are exchangeable at the Company’s election for the Company’s Class A common stock. The Company’s RSUs are considered stock equivalents for this purpose. For the period from April 23, 2026, to June 30, 2026, the reallocation of net income and weighted average shares of Class A common stock attributable to noncontrolling interests from the assumed conversion of LLC Interests has been excluded as this was anti-dilutive.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 is presented for the period from after the IPO, April 23, 2026, to June 30, 2026. The Company’s current capital structure is not reflective of the capital structure of Ultimate Parent prior to the IPO and the related transactions. Therefore, earnings per share has not been presented for the period of the year prior to the IPO or for the three and six months periods ended June 30, 2025.</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reconciliations of the numerators and denominators used to compute basic and diluted earnings per share of Class A common stock for the periods following the IPO (in thousands, except share and per share amounts):</w:t>
      </w:r>
    </w:p>
    <w:p>
      <w:pPr>
        <w:pStyle w:val="TextBody"/>
        <w:bidi w:val="0"/>
        <w:spacing w:before="0" w:after="0"/>
        <w:ind w:left="0" w:right="0" w:hanging="0"/>
        <w:jc w:val="both"/>
        <w:rPr/>
      </w:pPr>
      <w:r>
        <w:rPr/>
        <w:t>​</w:t>
      </w:r>
    </w:p>
    <w:tbl>
      <w:tblPr>
        <w:tblW w:w="9757" w:type="dxa"/>
        <w:jc w:val="left"/>
        <w:tblInd w:w="0" w:type="dxa"/>
        <w:tblLayout w:type="fixed"/>
        <w:tblCellMar>
          <w:top w:w="0" w:type="dxa"/>
          <w:left w:w="0" w:type="dxa"/>
          <w:bottom w:w="0" w:type="dxa"/>
          <w:right w:w="0" w:type="dxa"/>
        </w:tblCellMar>
      </w:tblPr>
      <w:tblGrid>
        <w:gridCol w:w="6001"/>
        <w:gridCol w:w="109"/>
        <w:gridCol w:w="211"/>
        <w:gridCol w:w="3436"/>
      </w:tblGrid>
      <w:tr>
        <w:trPr/>
        <w:tc>
          <w:tcPr>
            <w:tcW w:w="6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810635" cy="175260"/>
                      <wp:effectExtent l="0" t="0" r="0" b="0"/>
                      <wp:wrapNone/>
                      <wp:docPr id="232" name="Frame232"/>
                      <a:graphic xmlns:a="http://schemas.openxmlformats.org/drawingml/2006/main">
                        <a:graphicData uri="http://schemas.microsoft.com/office/word/2010/wordprocessingShape">
                          <wps:wsp>
                            <wps:cNvSpPr txBox="1"/>
                            <wps:spPr>
                              <a:xfrm>
                                <a:off x="0" y="0"/>
                                <a:ext cx="3810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6" w:type="dxa"/>
            <w:tcBorders/>
            <w:vAlign w:val="center"/>
          </w:tcPr>
          <w:p>
            <w:pPr>
              <w:pStyle w:val="TableContents"/>
              <w:bidi w:val="0"/>
              <w:spacing w:before="0" w:after="1"/>
              <w:ind w:left="0" w:right="0" w:hanging="0"/>
              <w:jc w:val="left"/>
              <w:rPr/>
            </w:pPr>
            <w:r>
              <w:rPr/>
              <w:t>​</w:t>
            </w:r>
          </w:p>
        </w:tc>
      </w:tr>
      <w:tr>
        <w:trPr/>
        <w:tc>
          <w:tcPr>
            <w:tcW w:w="60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millions, except share and per share amounts)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 from April 23, 2026, to June 30, 2026</w:t>
            </w:r>
          </w:p>
        </w:tc>
      </w:tr>
      <w:tr>
        <w:trPr/>
        <w:tc>
          <w:tcPr>
            <w:tcW w:w="60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36" w:type="dxa"/>
            <w:tcBorders/>
            <w:shd w:fill="CCEEFF" w:val="clear"/>
            <w:vAlign w:val="center"/>
          </w:tcPr>
          <w:p>
            <w:pPr>
              <w:pStyle w:val="TableContents"/>
              <w:bidi w:val="0"/>
              <w:spacing w:before="0" w:after="1"/>
              <w:ind w:left="0" w:right="0" w:hanging="0"/>
              <w:jc w:val="right"/>
              <w:rPr/>
            </w:pPr>
            <w:r>
              <w:rPr/>
              <w:t>​</w:t>
            </w:r>
          </w:p>
        </w:tc>
      </w:tr>
      <w:tr>
        <w:trPr/>
        <w:tc>
          <w:tcPr>
            <w:tcW w:w="6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19,937</w:t>
            </w:r>
          </w:p>
        </w:tc>
      </w:tr>
      <w:tr>
        <w:trPr/>
        <w:tc>
          <w:tcPr>
            <w:tcW w:w="6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13,363</w:t>
            </w:r>
          </w:p>
        </w:tc>
      </w:tr>
      <w:tr>
        <w:trPr/>
        <w:tc>
          <w:tcPr>
            <w:tcW w:w="6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Yesway, Inc. - basic</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6,574</w:t>
            </w:r>
          </w:p>
        </w:tc>
      </w:tr>
      <w:tr>
        <w:trPr/>
        <w:tc>
          <w:tcPr>
            <w:tcW w:w="6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effect of dilutive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36" w:type="dxa"/>
            <w:tcBorders/>
            <w:shd w:fill="CCEEFF" w:val="clear"/>
            <w:vAlign w:val="center"/>
          </w:tcPr>
          <w:p>
            <w:pPr>
              <w:pStyle w:val="TableContents"/>
              <w:bidi w:val="0"/>
              <w:spacing w:before="0" w:after="1"/>
              <w:ind w:left="0" w:right="0" w:hanging="0"/>
              <w:jc w:val="right"/>
              <w:rPr/>
            </w:pPr>
            <w:r>
              <w:rPr/>
              <w:t>​</w:t>
            </w:r>
          </w:p>
        </w:tc>
      </w:tr>
      <w:tr>
        <w:trPr/>
        <w:tc>
          <w:tcPr>
            <w:tcW w:w="6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RSUs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conversion of LLC Interests to Class A common stock</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 for net income - diluted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6,602</w:t>
            </w:r>
          </w:p>
        </w:tc>
      </w:tr>
      <w:tr>
        <w:trPr/>
        <w:tc>
          <w:tcPr>
            <w:tcW w:w="600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36" w:type="dxa"/>
            <w:tcBorders/>
            <w:shd w:fill="CCEEFF" w:val="clear"/>
            <w:vAlign w:val="center"/>
          </w:tcPr>
          <w:p>
            <w:pPr>
              <w:pStyle w:val="TableContents"/>
              <w:bidi w:val="0"/>
              <w:spacing w:before="0" w:after="1"/>
              <w:ind w:left="0" w:right="0" w:hanging="0"/>
              <w:jc w:val="left"/>
              <w:rPr/>
            </w:pPr>
            <w:r>
              <w:rPr/>
              <w:t>​</w:t>
            </w:r>
          </w:p>
        </w:tc>
      </w:tr>
      <w:tr>
        <w:trPr/>
        <w:tc>
          <w:tcPr>
            <w:tcW w:w="60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36" w:type="dxa"/>
            <w:tcBorders/>
            <w:vAlign w:val="center"/>
          </w:tcPr>
          <w:p>
            <w:pPr>
              <w:pStyle w:val="TableContents"/>
              <w:bidi w:val="0"/>
              <w:spacing w:before="0" w:after="1"/>
              <w:ind w:left="0" w:right="0" w:hanging="0"/>
              <w:jc w:val="left"/>
              <w:rPr/>
            </w:pPr>
            <w:r>
              <w:rPr/>
              <w:t>​</w:t>
            </w:r>
          </w:p>
        </w:tc>
      </w:tr>
      <w:tr>
        <w:trPr/>
        <w:tc>
          <w:tcPr>
            <w:tcW w:w="6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of Class A common stock outstanding - basic</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31,063,822</w:t>
            </w:r>
          </w:p>
        </w:tc>
      </w:tr>
      <w:tr>
        <w:trPr/>
        <w:tc>
          <w:tcPr>
            <w:tcW w:w="6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effect of dilutive securities: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36" w:type="dxa"/>
            <w:tcBorders/>
            <w:vAlign w:val="center"/>
          </w:tcPr>
          <w:p>
            <w:pPr>
              <w:pStyle w:val="TableContents"/>
              <w:bidi w:val="0"/>
              <w:spacing w:before="0" w:after="1"/>
              <w:ind w:left="0" w:right="0" w:hanging="0"/>
              <w:jc w:val="left"/>
              <w:rPr/>
            </w:pPr>
            <w:r>
              <w:rPr/>
              <w:t>​</w:t>
            </w:r>
          </w:p>
        </w:tc>
      </w:tr>
      <w:tr>
        <w:trPr/>
        <w:tc>
          <w:tcPr>
            <w:tcW w:w="6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RSUs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172,965</w:t>
            </w:r>
          </w:p>
        </w:tc>
      </w:tr>
      <w:tr>
        <w:trPr/>
        <w:tc>
          <w:tcPr>
            <w:tcW w:w="6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conversion of LLC Interests to Class A common stock</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of Class A common stock outstanding - 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31,236,787</w:t>
            </w:r>
          </w:p>
        </w:tc>
      </w:tr>
      <w:tr>
        <w:trPr/>
        <w:tc>
          <w:tcPr>
            <w:tcW w:w="60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36" w:type="dxa"/>
            <w:tcBorders/>
            <w:vAlign w:val="center"/>
          </w:tcPr>
          <w:p>
            <w:pPr>
              <w:pStyle w:val="TableContents"/>
              <w:bidi w:val="0"/>
              <w:spacing w:before="0" w:after="1"/>
              <w:ind w:left="0" w:right="0" w:hanging="0"/>
              <w:jc w:val="left"/>
              <w:rPr/>
            </w:pPr>
            <w:r>
              <w:rPr/>
              <w:t>​</w:t>
            </w:r>
          </w:p>
        </w:tc>
      </w:tr>
      <w:tr>
        <w:trPr/>
        <w:tc>
          <w:tcPr>
            <w:tcW w:w="6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per share of Class A common stock - basic</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6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per share of Class A common stock - diluted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3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0.21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13.    Payable Pursuant to the Tax Receivable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Amounts payable under the TRA are contingent upon the generation of future taxable income over the term of the TRA and future changes in tax laws. If we do not generate sufficient taxable income in the aggregate over the term of the TRA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utilize the tax benefits, then we would not be required to make the related payments. During the three months ended June 30, 2026, the Company indirectly redeemed an aggregate of 15,085,561 LLC Interests, which resulted in an increase in the tax basis of the Company’s investment in Ultimate Parent, subject to the provisions of the TRA. As a result of these redemptions, during the three months ended June 30, 2026, the Company estimated that the tax savings associated with all tax attributes described above would require us to pay $92,263, primarily over the next 15 years. The Company recorded this liability and a corresponding deferred tax assets in the amount of $41,627.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TRA payments have been made as of June 30, 2026, nor are due within the next 12 months.</w:t>
      </w:r>
    </w:p>
    <w:p>
      <w:pPr>
        <w:pStyle w:val="TextBody"/>
        <w:pBdr/>
        <w:bidi w:val="0"/>
        <w:spacing w:before="0" w:after="240"/>
        <w:ind w:left="0" w:right="0" w:hanging="360"/>
        <w:jc w:val="left"/>
        <w:rPr>
          <w:rFonts w:ascii="Times New Roman;Times;serif" w:hAnsi="Times New Roman;Times;serif"/>
          <w:b/>
          <w:sz w:val="20"/>
        </w:rPr>
      </w:pPr>
      <w:bookmarkStart w:id="1315" w:name="Tc_dNQSgXbCqECLQcB7UN35mw_12_17"/>
      <w:bookmarkStart w:id="1316" w:name="Tc_b6mik7ItKU6j3-gPFDS2cg_12_14"/>
      <w:bookmarkStart w:id="1317" w:name="Tc_GJv7bAmaWECZJ1iZg8DwuQ_12_11"/>
      <w:bookmarkStart w:id="1318" w:name="Tc_afDHwKGoGUq3lUVQSzJTPg_12_8"/>
      <w:bookmarkStart w:id="1319" w:name="Tc_GTBFhB9SjUuWQyUZ-DLypg_12_5"/>
      <w:bookmarkStart w:id="1320" w:name="Tc_S49zA6gQFEmbB9I0DwthkA_12_2"/>
      <w:bookmarkStart w:id="1321" w:name="Tc_WvQE401sAUaBZxQIUKo2Eg_12_0"/>
      <w:bookmarkStart w:id="1322" w:name="Tc_M82MUX312kSNjAklY2-Dqg_11_17"/>
      <w:bookmarkStart w:id="1323" w:name="Tc_KC6B-gZQYU6KhmO7zhqZ6g_11_14"/>
      <w:bookmarkStart w:id="1324" w:name="Tc_H8qHBhMWwkWVDyra9V-Sgg_11_11"/>
      <w:bookmarkStart w:id="1325" w:name="Tc_RkPxswi2lEucHxP4UXRprg_11_8"/>
      <w:bookmarkStart w:id="1326" w:name="Tc_529H74BWjkSRPjgTl0ntfQ_11_5"/>
      <w:bookmarkStart w:id="1327" w:name="Tc_f3qEZGcWKEGrNaqiVIbuFg_11_2"/>
      <w:bookmarkStart w:id="1328" w:name="Tc_vxAcwjN98E-R4GyG8w60kQ_11_0"/>
      <w:bookmarkStart w:id="1329" w:name="Tc_a6FmgN9nbkmBll7hr-gmcg_10_17"/>
      <w:bookmarkStart w:id="1330" w:name="Tc_auS4KZPCdEyfycZ75HsoDg_10_14"/>
      <w:bookmarkStart w:id="1331" w:name="Tc_YNnj_wdVJk-A81lb2S6TlA_10_11"/>
      <w:bookmarkStart w:id="1332" w:name="Tc_aMskxotRpkaJrzXR9UwDsw_10_8"/>
      <w:bookmarkStart w:id="1333" w:name="Tc_WaN5q3SXtkquKSK6jy_K9g_10_5"/>
      <w:bookmarkStart w:id="1334" w:name="Tc_dCRwVzgG4UWVOYU1h4Neyg_10_2"/>
      <w:bookmarkStart w:id="1335" w:name="Tc_w1HcQpvZhU6jMZ6ev1NHPw_10_0"/>
      <w:bookmarkStart w:id="1336" w:name="Tc_4-Ql0iawLUSplL3l4jg3HQ_9_0"/>
      <w:bookmarkStart w:id="1337" w:name="Tc_MEcJ350oyU6Q-1th9nxBcg_8_17"/>
      <w:bookmarkStart w:id="1338" w:name="Tc_oRHZx_hXU0q2V8U2_6YuMw_8_14"/>
      <w:bookmarkStart w:id="1339" w:name="Tc__Ch-QO6cg0Gn7w0DJM4IIw_8_11"/>
      <w:bookmarkStart w:id="1340" w:name="Tc_GDvkzUVxF06FfHuRlCIQBA_8_8"/>
      <w:bookmarkStart w:id="1341" w:name="Tc_PSo6ksBZk0a4TQEiP6_h7w_8_5"/>
      <w:bookmarkStart w:id="1342" w:name="Tc_VChP4zSAJ0OjhrBo2EB8UA_8_2"/>
      <w:bookmarkStart w:id="1343" w:name="Tc_ajfMIB-PuU6Ygk0sbn98AA_8_0"/>
      <w:bookmarkStart w:id="1344" w:name="Tc_6yqckX9LYU2LpAstOKQ6Kw_7_17"/>
      <w:bookmarkStart w:id="1345" w:name="Tc_VWWYYJWVJUGZW-4zJW6Qkg_7_14"/>
      <w:bookmarkStart w:id="1346" w:name="Tc_AlYOtISj00uHM5lLL0Seqw_7_11"/>
      <w:bookmarkStart w:id="1347" w:name="Tc_mEWnXqjNeEqgBU6FJCvgDA_7_8"/>
      <w:bookmarkStart w:id="1348" w:name="Tc_H2Z2a5tc5UCuC1RNvSlLzg_7_5"/>
      <w:bookmarkStart w:id="1349" w:name="Tc_mPuiYXt9rkSoJot2uk6tAQ_7_2"/>
      <w:bookmarkStart w:id="1350" w:name="Tc_m-r-Dqlvn0ybDwQMxRk4SQ_7_0"/>
      <w:bookmarkStart w:id="1351" w:name="Tc_AAzHWxKwOkGhJW4s9FC33g_6_0"/>
      <w:bookmarkStart w:id="1352" w:name="Tc_g30w-rDF5kyrtYrOLQCyYA_5_0"/>
      <w:bookmarkStart w:id="1353" w:name="Tc_iwyRKJuvZE2LCsbD4u1cJQ_4_17"/>
      <w:bookmarkStart w:id="1354" w:name="Tc_9L9KzmgYlUmIBG0rs6nKUg_4_14"/>
      <w:bookmarkStart w:id="1355" w:name="Tc_3Topd36QH069cj3EufawBA_4_11"/>
      <w:bookmarkStart w:id="1356" w:name="Tc_aNYlVCtIUk-8Q2oosvi0Gw_4_8"/>
      <w:bookmarkStart w:id="1357" w:name="Tc_Ud-QxoryHU2XttAhnhOeVg_4_5"/>
      <w:bookmarkStart w:id="1358" w:name="Tc_Pe4BuwlmPECQ4qwRpOqgRQ_4_2"/>
      <w:bookmarkStart w:id="1359" w:name="Tc_-su6oJyJ1kawd98FqJ6nww_3_14"/>
      <w:bookmarkStart w:id="1360" w:name="Tc_EXbie4RTZ0qjFZTOKGg4Kw_3_8"/>
      <w:bookmarkStart w:id="1361" w:name="Tc_9yWgq9Wmr0eHbPVHkuFnKw_3_2"/>
      <w:bookmarkStart w:id="1362" w:name="Tc_i2VCOOYRO0SHfEutC7-9fw_2_2"/>
      <w:bookmarkStart w:id="1363" w:name="Tc_sYTDe8Vodk6wOwALZwuI7g_1_2"/>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r>
        <w:rPr>
          <w:rFonts w:ascii="Times New Roman;Times;serif" w:hAnsi="Times New Roman;Times;serif"/>
          <w:b/>
          <w:sz w:val="20"/>
        </w:rPr>
        <w:t>14. 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follows the provisions of FASB ASC 820 </w:t>
      </w:r>
      <w:r>
        <w:rPr>
          <w:rFonts w:ascii="Times New Roman;Times;serif" w:hAnsi="Times New Roman;Times;serif"/>
          <w:i/>
          <w:sz w:val="20"/>
        </w:rPr>
        <w:t>Fair Value Measurement</w:t>
      </w:r>
      <w:r>
        <w:rPr>
          <w:rFonts w:ascii="Times New Roman;Times;serif" w:hAnsi="Times New Roman;Times;serif"/>
          <w:sz w:val="20"/>
        </w:rPr>
        <w:t xml:space="preserve"> (“ASC 820”), which defines fair value and establishes a hierarchy for inputs used in measuring fair value that maximize the use of observable inputs and minimize the use of unobservable inputs, requiring that inputs that are most observable be used when available. Observable inputs are inputs that market participants operating within the same marketplace as the Company would use in pricing the Company’s assets or liability based on independently derived and observable market data. Unobservable input cannot be sourced from a broad active market in which assets or liabilities identical or similar to those of the Company are traded. The Company estimates the price of any assets for which there are only unobservable inputs by using assumptions that market participants that have investments in the same or similar assets would use as determined by the money managers for each investment based on best information available in the circumstances.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hierarchy is categorized into three levels based on the degree to which the exit price is independently observable or determinable as follows: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1 - Valuation based on quoted market prices in active markets for identical assets or liabilities. Since valuations are based on quoted prices that are readily and regularly available in an active market, valuation of these products does not entail a significant degree of judgment.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2 - Observable inputs other than quoted prices included in Level 1 that are observable for the asset or liability through corroboration with market data at the measurement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3 - Valuation based on inputs that are unobservable and reflect management’s best estimate of what market participants would use as fair value.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fair value hierarchy of the Company’s assets and liabilities measured at fair value on a recurring basis as of June 30, 2026, and December 31, 2025:</w:t>
      </w:r>
    </w:p>
    <w:p>
      <w:pPr>
        <w:pStyle w:val="TextBody"/>
        <w:bidi w:val="0"/>
        <w:spacing w:before="0" w:after="0"/>
        <w:ind w:left="0" w:right="0" w:hanging="0"/>
        <w:jc w:val="left"/>
        <w:rPr/>
      </w:pPr>
      <w:r>
        <w:rPr/>
        <w:t>​</w:t>
      </w:r>
    </w:p>
    <w:tbl>
      <w:tblPr>
        <w:tblW w:w="9179" w:type="dxa"/>
        <w:jc w:val="left"/>
        <w:tblInd w:w="0" w:type="dxa"/>
        <w:tblLayout w:type="fixed"/>
        <w:tblCellMar>
          <w:top w:w="0" w:type="dxa"/>
          <w:left w:w="0" w:type="dxa"/>
          <w:bottom w:w="0" w:type="dxa"/>
          <w:right w:w="0" w:type="dxa"/>
        </w:tblCellMar>
      </w:tblPr>
      <w:tblGrid>
        <w:gridCol w:w="4186"/>
        <w:gridCol w:w="146"/>
        <w:gridCol w:w="211"/>
        <w:gridCol w:w="676"/>
        <w:gridCol w:w="146"/>
        <w:gridCol w:w="211"/>
        <w:gridCol w:w="676"/>
        <w:gridCol w:w="146"/>
        <w:gridCol w:w="211"/>
        <w:gridCol w:w="346"/>
        <w:gridCol w:w="146"/>
        <w:gridCol w:w="211"/>
        <w:gridCol w:w="346"/>
        <w:gridCol w:w="146"/>
        <w:gridCol w:w="211"/>
        <w:gridCol w:w="346"/>
        <w:gridCol w:w="146"/>
        <w:gridCol w:w="211"/>
        <w:gridCol w:w="461"/>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658110" cy="175260"/>
                      <wp:effectExtent l="0" t="0" r="0" b="0"/>
                      <wp:wrapNone/>
                      <wp:docPr id="235" name="Frame235"/>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92710" cy="175260"/>
                      <wp:effectExtent l="0" t="0" r="0" b="0"/>
                      <wp:wrapNone/>
                      <wp:docPr id="236" name="Frame2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29260" cy="175260"/>
                      <wp:effectExtent l="0" t="0" r="0" b="0"/>
                      <wp:wrapNone/>
                      <wp:docPr id="238" name="Frame2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92710" cy="175260"/>
                      <wp:effectExtent l="0" t="0" r="0" b="0"/>
                      <wp:wrapNone/>
                      <wp:docPr id="239" name="Frame23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29260" cy="175260"/>
                      <wp:effectExtent l="0" t="0" r="0" b="0"/>
                      <wp:wrapNone/>
                      <wp:docPr id="241" name="Frame2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92710" cy="175260"/>
                      <wp:effectExtent l="0" t="0" r="0" b="0"/>
                      <wp:wrapNone/>
                      <wp:docPr id="242" name="Frame2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92710" cy="175260"/>
                      <wp:effectExtent l="0" t="0" r="0" b="0"/>
                      <wp:wrapNone/>
                      <wp:docPr id="245" name="Frame24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92710" cy="175260"/>
                      <wp:effectExtent l="0" t="0" r="0" b="0"/>
                      <wp:wrapNone/>
                      <wp:docPr id="248" name="Frame2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92710" cy="175260"/>
                      <wp:effectExtent l="0" t="0" r="0" b="0"/>
                      <wp:wrapNone/>
                      <wp:docPr id="251" name="Frame25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92735" cy="175260"/>
                      <wp:effectExtent l="0" t="0" r="0" b="0"/>
                      <wp:wrapNone/>
                      <wp:docPr id="253" name="Frame253"/>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4847" w:type="dxa"/>
            <w:gridSpan w:val="1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at the end of </w:t>
            </w:r>
          </w:p>
        </w:tc>
      </w:tr>
      <w:tr>
        <w:trPr/>
        <w:tc>
          <w:tcPr>
            <w:tcW w:w="41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4847"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 and December 31, 2025</w:t>
            </w:r>
          </w:p>
        </w:tc>
      </w:tr>
      <w:tr>
        <w:trPr/>
        <w:tc>
          <w:tcPr>
            <w:tcW w:w="41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46" w:type="dxa"/>
            <w:tcBorders/>
            <w:vAlign w:val="center"/>
          </w:tcPr>
          <w:p>
            <w:pPr>
              <w:pStyle w:val="TableContents"/>
              <w:bidi w:val="0"/>
              <w:spacing w:before="0" w:after="0"/>
              <w:ind w:left="0" w:right="0" w:hanging="0"/>
              <w:jc w:val="center"/>
              <w:rPr/>
            </w:pPr>
            <w:r>
              <w:rPr/>
              <w:t>​</w:t>
            </w:r>
          </w:p>
        </w:tc>
        <w:tc>
          <w:tcPr>
            <w:tcW w:w="12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46" w:type="dxa"/>
            <w:tcBorders/>
            <w:vAlign w:val="center"/>
          </w:tcPr>
          <w:p>
            <w:pPr>
              <w:pStyle w:val="TableContents"/>
              <w:bidi w:val="0"/>
              <w:spacing w:before="0" w:after="0"/>
              <w:ind w:left="0" w:right="0" w:hanging="0"/>
              <w:jc w:val="center"/>
              <w:rPr/>
            </w:pPr>
            <w:r>
              <w:rPr/>
              <w:t>​</w:t>
            </w:r>
          </w:p>
        </w:tc>
        <w:tc>
          <w:tcPr>
            <w:tcW w:w="1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1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146" w:type="dxa"/>
            <w:tcBorders/>
            <w:vAlign w:val="center"/>
          </w:tcPr>
          <w:p>
            <w:pPr>
              <w:pStyle w:val="TableContents"/>
              <w:bidi w:val="0"/>
              <w:spacing w:before="0" w:after="0"/>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146" w:type="dxa"/>
            <w:tcBorders/>
            <w:vAlign w:val="center"/>
          </w:tcPr>
          <w:p>
            <w:pPr>
              <w:pStyle w:val="TableContents"/>
              <w:bidi w:val="0"/>
              <w:spacing w:before="0" w:after="0"/>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center"/>
              <w:rPr/>
            </w:pPr>
            <w:r>
              <w:rPr/>
              <w:t>​</w:t>
            </w:r>
          </w:p>
        </w:tc>
        <w:tc>
          <w:tcPr>
            <w:tcW w:w="6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  ​</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  ​</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Overnight Investments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81,489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equivalents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81,489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28,272</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1" w:type="dxa"/>
            <w:tcBorders/>
            <w:shd w:fill="CCEEFF" w:val="clear"/>
            <w:vAlign w:val="center"/>
          </w:tcPr>
          <w:p>
            <w:pPr>
              <w:pStyle w:val="TableContents"/>
              <w:bidi w:val="0"/>
              <w:spacing w:before="0" w:after="0"/>
              <w:ind w:left="0" w:right="0" w:hanging="0"/>
              <w:jc w:val="right"/>
              <w:rPr/>
            </w:pPr>
            <w:r>
              <w:rPr/>
              <w:t>  ​</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senior preferred membership interests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Derivatives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81,489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28,272</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sz w:val="20"/>
        </w:rPr>
      </w:pPr>
      <w:bookmarkStart w:id="1364" w:name="Tc_nYqeBfhgt0m4IlTultr_Lw_5_2"/>
      <w:bookmarkStart w:id="1365" w:name="Tc_moRgKzL-YkOI3krXzE2otQ_5_0"/>
      <w:bookmarkStart w:id="1366" w:name="Tc_jdyEITqz7Eqb_CNHHQpYmw_4_0"/>
      <w:bookmarkStart w:id="1367" w:name="Tc_NGf-E5NA506rbtA1r8Nv_g_3_2"/>
      <w:bookmarkStart w:id="1368" w:name="Tc_SWuZuGyuGkKCI9M63pdLFw_3_0"/>
      <w:bookmarkStart w:id="1369" w:name="Tc_DN1JxuW6ak-tkcmFgmytwA_2_0"/>
      <w:bookmarkStart w:id="1370" w:name="Tc_hmNINRYdxE2mI9utniJMZQ_1_2"/>
      <w:bookmarkStart w:id="1371" w:name="Tc_CSnxn6iFTEu1vO8AZpAoVg_1_0"/>
      <w:bookmarkEnd w:id="1364"/>
      <w:bookmarkEnd w:id="1365"/>
      <w:bookmarkEnd w:id="1366"/>
      <w:bookmarkEnd w:id="1367"/>
      <w:bookmarkEnd w:id="1368"/>
      <w:bookmarkEnd w:id="1369"/>
      <w:bookmarkEnd w:id="1370"/>
      <w:bookmarkEnd w:id="1371"/>
      <w:r>
        <w:rPr>
          <w:rFonts w:ascii="Times New Roman;Times;serif" w:hAnsi="Times New Roman;Times;serif"/>
          <w:b/>
          <w:i/>
          <w:sz w:val="20"/>
        </w:rPr>
        <w:t>Valuation techniques and methodologies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Accounts receivables, Accounts payable, Accrued expenses and other noncurrent liabilities: The carrying amount approximates fair value due to the short maturity of these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Debt: The fair value of the Company’s debt is estimated based on the current rates offered to the Company for debt of the same or similar issues. Based on the variable rate interest (Level 2) in-place, the fair value of the Company’s debt approximated its carrying value on June 30, 2026, and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Derivative liability: The probability of near term payoff of the Redeemable Senior Preferred Membership Interests decreased the value of the derivative to $0 as of December 31, 2025. The derivative liability was extinguished on April 23, 2026, when the Redeemable Senior Preferred Membership Interests were fully redeemed. This liability continued to be valued at $0 through the redemption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presented below is a summary of changes in the fair value of the Company’s Level 3 valuation for the derivative liability during the six months ended June 30, 2026, and the year ended December 31, 2025, were as follows: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 in fair value of derivative liability</w:t>
      </w:r>
    </w:p>
    <w:p>
      <w:pPr>
        <w:pStyle w:val="TextBody"/>
        <w:bidi w:val="0"/>
        <w:spacing w:before="0" w:after="0"/>
        <w:ind w:left="0" w:right="0" w:hanging="0"/>
        <w:jc w:val="left"/>
        <w:rPr/>
      </w:pPr>
      <w:r>
        <w:rPr/>
        <w:t>​</w:t>
      </w:r>
    </w:p>
    <w:tbl>
      <w:tblPr>
        <w:tblW w:w="3739" w:type="dxa"/>
        <w:jc w:val="left"/>
        <w:tblInd w:w="0" w:type="dxa"/>
        <w:tblLayout w:type="fixed"/>
        <w:tblCellMar>
          <w:top w:w="0" w:type="dxa"/>
          <w:left w:w="0" w:type="dxa"/>
          <w:bottom w:w="0" w:type="dxa"/>
          <w:right w:w="0" w:type="dxa"/>
        </w:tblCellMar>
      </w:tblPr>
      <w:tblGrid>
        <w:gridCol w:w="2596"/>
        <w:gridCol w:w="346"/>
        <w:gridCol w:w="211"/>
        <w:gridCol w:w="58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648460" cy="175260"/>
                      <wp:effectExtent l="0" t="0" r="0" b="0"/>
                      <wp:wrapNone/>
                      <wp:docPr id="254" name="Frame25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72110" cy="175260"/>
                      <wp:effectExtent l="0" t="0" r="0" b="0"/>
                      <wp:wrapNone/>
                      <wp:docPr id="257" name="Frame25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transfers between Levels 1, 2, and 3 during the reporting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Nonrecurring 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measures certain assets at fair value on a nonrecurring basis, including other investments, goodwill, property and equipment, operating lease right-of-use assets, and finance lease right-of-use assets when impairment indicators are present.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these assets is based on management’s estimates of the amount that could be realized from the sale of assets in a current transaction between willing parties. Impairment is evaluated and recorded throughout the year, as necessary. The fair value estimates are derived from offers, actual sale or disposition of assets, and other indications of fair value, which are considered Level 3 inputs. The Level 3 inputs of fair value measurement are significantly influenced by market conditions, including changes in supply and demand, interest rates and financing conditions, inflation, and broader economic trends.</w:t>
      </w:r>
    </w:p>
    <w:p>
      <w:pPr>
        <w:pStyle w:val="TextBody"/>
        <w:bidi w:val="0"/>
        <w:spacing w:before="0" w:after="240"/>
        <w:ind w:left="0" w:right="0" w:hanging="0"/>
        <w:jc w:val="both"/>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15. Related-party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reimburses an affiliate for various costs incurred on behalf of the Company, as described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charged $71 and $70 during the three  months period ended June 30, 2026, and 2025, respectively, and $143 and $139 during the six months periods ended June 30, 2026, and 2025, respectively, by an affiliate for a portion of rent for shared office space, which is included in Selling, general, and administrative expenses in the accompanying unaudited Condensed Consolidated Statements of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was charged $12 and $11 during the three and six months periods ended June 30, 2026, and 2025, respectively, and $23 during each of the three and six months periods ended June 30, 2026, and 2025, respectively, by an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affiliate for certain operating expenses incurred on behalf of the Company, which is included in Selling, general, and administrative expenses in the accompanying unaudited Condensed Consolidated Statements of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total outstanding payables to related parties of $70 and $46 as of June 30, 2026, and December 31, 2025, respectively, for rent and accruals.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amounts Due to and Due from affiliates represent advances to and from the Company. Such amounts are non-interest bearing and are due on demand.</w:t>
      </w:r>
    </w:p>
    <w:p>
      <w:pPr>
        <w:pStyle w:val="TextBody"/>
        <w:pBdr/>
        <w:bidi w:val="0"/>
        <w:spacing w:before="0" w:after="240"/>
        <w:ind w:left="0" w:right="0" w:hanging="360"/>
        <w:jc w:val="left"/>
        <w:rPr>
          <w:rFonts w:ascii="Times New Roman;Times;serif" w:hAnsi="Times New Roman;Times;serif"/>
          <w:b/>
          <w:sz w:val="20"/>
        </w:rPr>
      </w:pPr>
      <w:bookmarkStart w:id="1372" w:name="Tc_8GynY5_JVUOPcTy5ys02TQ_7_0"/>
      <w:bookmarkStart w:id="1373" w:name="Tc_0r5nyluXt0mPS23OYoulrQ_6_0"/>
      <w:bookmarkStart w:id="1374" w:name="Tc_TOBimuIV1ku0M1vSnaPDyA_5_0"/>
      <w:bookmarkStart w:id="1375" w:name="Tc_rHSvB1YtaE2JvYeYFENszw_4_0"/>
      <w:bookmarkStart w:id="1376" w:name="Tc_lEaKRf5-nUqxukNcumr5kg_3_0"/>
      <w:bookmarkStart w:id="1377" w:name="Tc_jWHdH2yRFU6ycBEXs8SAvw_2_0"/>
      <w:bookmarkStart w:id="1378" w:name="Tc_HfQbdM8V3ke1xmOo_0EL9A_1_0"/>
      <w:bookmarkStart w:id="1379" w:name="_73e0108c_7bba_4680_b527_c052d55b12fe"/>
      <w:bookmarkEnd w:id="1372"/>
      <w:bookmarkEnd w:id="1373"/>
      <w:bookmarkEnd w:id="1374"/>
      <w:bookmarkEnd w:id="1375"/>
      <w:bookmarkEnd w:id="1376"/>
      <w:bookmarkEnd w:id="1377"/>
      <w:bookmarkEnd w:id="1378"/>
      <w:bookmarkEnd w:id="1379"/>
      <w:r>
        <w:rPr>
          <w:rFonts w:ascii="Times New Roman;Times;serif" w:hAnsi="Times New Roman;Times;serif"/>
          <w:b/>
          <w:sz w:val="20"/>
        </w:rPr>
        <w:t>16.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commitments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minimum retail gasoline volume purchase requirements with various unrelated parties. These gallonage requirements are purchased at the fair market value of the product at the time of delivery. Should these gallonage requirements not be achieved, the Company may be liable to pay penalties to the appropriate supplier. As of June 30, 2026, the Company has fulfilled all gallonage commitments. The amounts purchased under these requirements were $459,945 and $748,248 for the three and six months period ended June 30, 2026, respectively, and $279,065 and $540,700 for the three and six months period ended June 30, 2025,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provides minimum volume purchase requirements on June 30, 2026 (in thousands of gallons):</w:t>
      </w:r>
    </w:p>
    <w:p>
      <w:pPr>
        <w:pStyle w:val="TextBody"/>
        <w:bidi w:val="0"/>
        <w:spacing w:before="0" w:after="240"/>
        <w:ind w:left="0" w:right="0" w:hanging="0"/>
        <w:jc w:val="both"/>
        <w:rPr/>
      </w:pPr>
      <w:r>
        <w:rPr/>
        <w:t>​</w:t>
      </w:r>
    </w:p>
    <w:tbl>
      <w:tblPr>
        <w:tblW w:w="3343" w:type="dxa"/>
        <w:jc w:val="left"/>
        <w:tblInd w:w="0" w:type="dxa"/>
        <w:tblLayout w:type="fixed"/>
        <w:tblCellMar>
          <w:top w:w="0" w:type="dxa"/>
          <w:left w:w="0" w:type="dxa"/>
          <w:bottom w:w="0" w:type="dxa"/>
          <w:right w:w="0" w:type="dxa"/>
        </w:tblCellMar>
      </w:tblPr>
      <w:tblGrid>
        <w:gridCol w:w="2101"/>
        <w:gridCol w:w="346"/>
        <w:gridCol w:w="89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4135" cy="175260"/>
                      <wp:effectExtent l="0" t="0" r="0" b="0"/>
                      <wp:wrapNone/>
                      <wp:docPr id="258" name="Frame258"/>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68960" cy="175260"/>
                      <wp:effectExtent l="0" t="0" r="0" b="0"/>
                      <wp:wrapNone/>
                      <wp:docPr id="260" name="Frame26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Years ending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period)</w:t>
            </w:r>
          </w:p>
        </w:tc>
        <w:tc>
          <w:tcPr>
            <w:tcW w:w="34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65,319</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130,638</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120,000</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120,000</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495,957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commitments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contracts with various contractors to build its stores. As of June 30, 2026, the Company had aggregate remaining commitments of approximately $19,497. These contracts are expected to be mostly completed by the end of the fourth quarter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invested in Intrepid Venture GP, LLC as a Limited Partner in December 2021. This investment is accounted for using the cost method. The investment requires the Company to make capital contributions in cash to the partnership from time to time up to $3,000. As of June 30, 2026, the Company had an investment balance of $1,812 included in Other assets in the accompanying unaudited Condensed Consolidated Balance Sheets and a remaining commitment totaling $1,188.</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United States Environmental Protection Agency and several states have adopted laws and regulations relating to underground storage tanks used for petroleum products. The Company has engaged environmental consultants to continually evaluate and monitor its locations for environmental compliance and potential remediation. If remediation is required, the Company’s consultants assist in developing remediation plans and cost projections, implement remediation actions, and monitor the sites as required. It is reasonably possible that the requirement for and the cost of remediation could change in the near term as a result of (1) changes to the remediation plan as required by federal, state, or local authorities, (2) changes in technology available to treat the sites, (3) unforeseen circumstances at the site, and (4) differences between projected and actual costs. Where allowable, the Company has filed claims under its property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bookmarkStart w:id="1380" w:name="_d1fab2c7_8938_44ed_8429_78ff0de2a1c9_5"/>
      <w:bookmarkStart w:id="1381" w:name="_d1fab2c7_8938_44ed_8429_78ff0de2a1c9_4"/>
      <w:bookmarkStart w:id="1382" w:name="_d1fab2c7_8938_44ed_8429_78ff0de2a1c9_3"/>
      <w:bookmarkStart w:id="1383" w:name="_d1fab2c7_8938_44ed_8429_78ff0de2a1c9_2"/>
      <w:bookmarkStart w:id="1384" w:name="_d1fab2c7_8938_44ed_8429_78ff0de2a1c9"/>
      <w:bookmarkEnd w:id="1380"/>
      <w:bookmarkEnd w:id="1381"/>
      <w:bookmarkEnd w:id="1382"/>
      <w:bookmarkEnd w:id="1383"/>
      <w:bookmarkEnd w:id="1384"/>
      <w:r>
        <w:rPr>
          <w:rFonts w:ascii="Times New Roman;Times;serif" w:hAnsi="Times New Roman;Times;serif"/>
          <w:sz w:val="20"/>
        </w:rPr>
        <w:t>insurance policies and with federal, state, and local agencies for ongoing maintenance and preventive care required by the Company’s insurance carriers. The Company accrues for environmental remediation liabilities when it is probable a liability has been incurred and the amount of loss can be reasonably estimated. Therefore, although the Company believes that these environmental liabilities are adequate, no assurances can be made that any costs incurred in excess of these environmental liabilities or outside of indemnifications or not otherwise covered by insurance would not have a material adverse effect on the Company’s financial condition, results of operations or cash flows. As of June 30, 2026, and December 31, 2025, the Company had an estimated liability of $3,153 and $3,262, respectively, recorded on an undiscounted basis in Other noncurrent liabilities in the accompanying unaudited Condensed Consolidated Balance Sheets. Amounts are expected to be paid out over a period that extends beyond one year from June 30, 2026. Environmental remediation and maintenance expense totaled $730 and $1,281 for each of the three and six months periods ended June 30, 2026, and $646 and $1,197 for each of the three and six months periods ended June 30, 2025, and is included in Selling, general, and administrative expenses in the accompanying unaudited Consolidated Statements of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the Company may be involved in legal or administrative proceedings or investigations arising from the conduct of its business operations, including, but not limited to, contractual disputes; employment, personnel, or accessibility matters; personal injury and property damage claims; and claims by federal, state, and local regulatory authorities relating to the sale of products pursuant to licenses and permits issued by those authorities. Claims for damages in those actions may be substantial. While the outcome of such litigation, proceedings, investigations, or claims is never certain, it is management’s opinion, after taking into consideration legal counsel’s assessment and the availability of insurance proceeds and other collateral sources to cover potential losses, that the ultimate disposition of such matters currently pending or threatened, individually or cumulatively, will not have a material adverse effect on the Company’s accompanying unaudited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pBdr/>
        <w:bidi w:val="0"/>
        <w:spacing w:before="0" w:after="240"/>
        <w:ind w:left="0" w:right="0" w:hanging="360"/>
        <w:jc w:val="left"/>
        <w:rPr>
          <w:rFonts w:ascii="Times New Roman;Times;serif" w:hAnsi="Times New Roman;Times;serif"/>
          <w:b/>
          <w:sz w:val="20"/>
        </w:rPr>
      </w:pPr>
      <w:bookmarkStart w:id="1385" w:name="Tc_N9JCQCjcr0q9j2ZQlocWGA_23_11"/>
      <w:bookmarkStart w:id="1386" w:name="Tc_h2xsKkw7sUKHUZbbQ4Hdkw_23_8"/>
      <w:bookmarkStart w:id="1387" w:name="Tc_7gX1NEggIUyEmAQI5-ir7A_23_5"/>
      <w:bookmarkStart w:id="1388" w:name="Tc_gSjAFQKQdkuifqCKJay8Og_23_2"/>
      <w:bookmarkStart w:id="1389" w:name="Tc_huwY237JDEaAI30KCG5p9w_23_0"/>
      <w:bookmarkStart w:id="1390" w:name="Tc_voCN4WHj60y1HP-gRJLSoQ_22_9"/>
      <w:bookmarkStart w:id="1391" w:name="Tc_1F9g3JahxkaH-Z7uyMw1wg_22_0"/>
      <w:bookmarkStart w:id="1392" w:name="Tc_bYf0pmQZmUC2qFc4rTnNhw_21_0"/>
      <w:bookmarkStart w:id="1393" w:name="Tc_xEVSI08ZfUugLBI8_ldVXA_20_0"/>
      <w:bookmarkStart w:id="1394" w:name="Tc_a23zMUIe6EmrOi-WVVzh1g_19_0"/>
      <w:bookmarkStart w:id="1395" w:name="Tc_STthWuNQPE-VEZRNfLYsEg_18_12"/>
      <w:bookmarkStart w:id="1396" w:name="Tc_I_DPYSGRGkKv5hO4GN3r0A_18_0"/>
      <w:bookmarkStart w:id="1397" w:name="Tc_6iJwdFFGcUinHOW9Mv1LNw_17_0"/>
      <w:bookmarkStart w:id="1398" w:name="Tc_ZN4vQwTIiU-fWcKJMWIsBA_16_0"/>
      <w:bookmarkStart w:id="1399" w:name="Tc_KDURglBYIEqsIOljEVIeSQ_15_0"/>
      <w:bookmarkStart w:id="1400" w:name="Tc_-Fur_MbckUi8wh9D_com4g_14_0"/>
      <w:bookmarkStart w:id="1401" w:name="Tc_S6XKG8TNgkKOrIrUeL3PrA_13_0"/>
      <w:bookmarkStart w:id="1402" w:name="Tc_i1XqZ1U_XUCymsdky5igbA_12_0"/>
      <w:bookmarkStart w:id="1403" w:name="Tc_IDwuU5Zhokyko281Acm1Hw_11_0"/>
      <w:bookmarkStart w:id="1404" w:name="Tc_8Nv4TLPi3UmcXbPAdmSQaQ_10_0"/>
      <w:bookmarkStart w:id="1405" w:name="Tc_vST-mfMDY0us9TnCtnBHVA_9_0"/>
      <w:bookmarkStart w:id="1406" w:name="Tc_2MejQ0z6JUy0KT1hEzgS-g_8_0"/>
      <w:bookmarkStart w:id="1407" w:name="Tc_xRrGnjYwpku4LJklXzEtuQ_7_0"/>
      <w:bookmarkStart w:id="1408" w:name="Tc_lX3WNX8vIEKYqNVdp_6vgQ_6_0"/>
      <w:bookmarkStart w:id="1409" w:name="Tc_xAjQlf_l5kK-N7OkpBmY1A_5_11"/>
      <w:bookmarkStart w:id="1410" w:name="Tc_SSi8hGn3i0SZNC1MmXbgdg_5_8"/>
      <w:bookmarkStart w:id="1411" w:name="Tc_v9iHj9-DpEGZ8Gud5VJX7A_5_5"/>
      <w:bookmarkStart w:id="1412" w:name="Tc_OSxESb58YEaz8ziFrv9Yhw_5_2"/>
      <w:bookmarkStart w:id="1413" w:name="Tc_RMII_RZqxU-qhNVbtUVXhw_5_0"/>
      <w:bookmarkStart w:id="1414" w:name="Tc_f22x_s9V7kmiBN-QU55OOg_4_0"/>
      <w:bookmarkStart w:id="1415" w:name="Tc_7H6QKs2zWEWviu2fRGYQOg_3_11"/>
      <w:bookmarkStart w:id="1416" w:name="Tc_jkPUM8LsMkmbvFcVSsFwug_3_8"/>
      <w:bookmarkStart w:id="1417" w:name="Tc_4wbULQddSka9WQtwPR090A_3_5"/>
      <w:bookmarkStart w:id="1418" w:name="Tc_4ehffyh4Y0mpV6KV96yLhA_3_2"/>
      <w:bookmarkStart w:id="1419" w:name="Tc_roKwpnJ6bU-rwbQubmjVPw_2_8"/>
      <w:bookmarkStart w:id="1420" w:name="Tc_tuM9ouWSw0W-22zMcdEByw_2_2"/>
      <w:bookmarkStart w:id="1421" w:name="Tc_sBX0UUuwNUGl9BBuvpV-sg_1_8"/>
      <w:bookmarkStart w:id="1422" w:name="Tc_J6HeMSFyz0OQmGLVtFOmVw_1_2"/>
      <w:bookmarkStart w:id="1423" w:name="_55094f28_061c_4257_b884_29a7edeb68eb"/>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r>
        <w:rPr>
          <w:rFonts w:ascii="Times New Roman;Times;serif" w:hAnsi="Times New Roman;Times;serif"/>
          <w:b/>
          <w:sz w:val="20"/>
        </w:rPr>
        <w:t>17. 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the information about the Company’s revenue, significant segment expenses, and other segment items:</w:t>
      </w:r>
    </w:p>
    <w:p>
      <w:pPr>
        <w:pStyle w:val="TextBody"/>
        <w:bidi w:val="0"/>
        <w:spacing w:before="0" w:after="0"/>
        <w:ind w:left="0" w:right="0" w:hanging="0"/>
        <w:jc w:val="left"/>
        <w:rPr/>
      </w:pPr>
      <w:r>
        <w:rPr/>
        <w:t>​</w:t>
      </w:r>
    </w:p>
    <w:tbl>
      <w:tblPr>
        <w:tblW w:w="9419" w:type="dxa"/>
        <w:jc w:val="left"/>
        <w:tblInd w:w="0" w:type="dxa"/>
        <w:tblLayout w:type="fixed"/>
        <w:tblCellMar>
          <w:top w:w="0" w:type="dxa"/>
          <w:left w:w="0" w:type="dxa"/>
          <w:bottom w:w="0" w:type="dxa"/>
          <w:right w:w="0" w:type="dxa"/>
        </w:tblCellMar>
      </w:tblPr>
      <w:tblGrid>
        <w:gridCol w:w="4396"/>
        <w:gridCol w:w="346"/>
        <w:gridCol w:w="211"/>
        <w:gridCol w:w="781"/>
        <w:gridCol w:w="109"/>
        <w:gridCol w:w="211"/>
        <w:gridCol w:w="781"/>
        <w:gridCol w:w="146"/>
        <w:gridCol w:w="211"/>
        <w:gridCol w:w="931"/>
        <w:gridCol w:w="109"/>
        <w:gridCol w:w="211"/>
        <w:gridCol w:w="976"/>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791460" cy="175260"/>
                      <wp:effectExtent l="0" t="0" r="0" b="0"/>
                      <wp:wrapNone/>
                      <wp:docPr id="261" name="Frame261"/>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95935" cy="175260"/>
                      <wp:effectExtent l="0" t="0" r="0" b="0"/>
                      <wp:wrapNone/>
                      <wp:docPr id="264" name="Frame2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95935" cy="175260"/>
                      <wp:effectExtent l="0" t="0" r="0" b="0"/>
                      <wp:wrapNone/>
                      <wp:docPr id="267" name="Frame2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92710" cy="175260"/>
                      <wp:effectExtent l="0" t="0" r="0" b="0"/>
                      <wp:wrapNone/>
                      <wp:docPr id="268" name="Frame2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91185" cy="175260"/>
                      <wp:effectExtent l="0" t="0" r="0" b="0"/>
                      <wp:wrapNone/>
                      <wp:docPr id="270" name="Frame2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19760" cy="175260"/>
                      <wp:effectExtent l="0" t="0" r="0" b="0"/>
                      <wp:wrapNone/>
                      <wp:docPr id="273" name="Frame27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9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1"/>
              <w:ind w:left="0" w:right="0" w:hanging="0"/>
              <w:jc w:val="left"/>
              <w:rPr/>
            </w:pPr>
            <w:r>
              <w:rPr/>
              <w:t>​</w:t>
            </w:r>
          </w:p>
        </w:tc>
        <w:tc>
          <w:tcPr>
            <w:tcW w:w="243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9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1"/>
              <w:ind w:left="0" w:right="0" w:hanging="0"/>
              <w:jc w:val="left"/>
              <w:rPr/>
            </w:pPr>
            <w:r>
              <w:rPr/>
              <w:t>​</w:t>
            </w:r>
          </w:p>
        </w:tc>
        <w:tc>
          <w:tcPr>
            <w:tcW w:w="243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14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Fuel sales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673,138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440,822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1,137,443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840,999</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Inside merchandise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240,104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230,078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453,781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425,182</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7,532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6,773</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13,180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11,810</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920,774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677,673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1,604,404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1,277,991</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 </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fuel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589,153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379,148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981,849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731,128</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merchandise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154,320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149,022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290,839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277,494</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and employee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51,022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50,032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100,734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99,128</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fees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16,842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12,224</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29,392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22,959</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Repairs and maintenance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10,312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10,106</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11,824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9,894</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23,257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18,705</w:t>
            </w:r>
          </w:p>
        </w:tc>
      </w:tr>
      <w:tr>
        <w:trPr/>
        <w:tc>
          <w:tcPr>
            <w:tcW w:w="43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 expenses</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22,380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21,171</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40,095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42,524</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amortization, and accretion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16,621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15,690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32,609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31,207</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4,708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4,708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disposal of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(1,446)</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(2,191)</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11,893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24,101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29,050</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6,197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6,197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43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(b)</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Consolidated net income (loss)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29,654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24,157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59,890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18,523</w:t>
            </w:r>
          </w:p>
        </w:tc>
      </w:tr>
    </w:tbl>
    <w:tbl>
      <w:tblPr>
        <w:tblW w:w="8267" w:type="dxa"/>
        <w:jc w:val="left"/>
        <w:tblInd w:w="0" w:type="dxa"/>
        <w:tblLayout w:type="fixed"/>
        <w:tblCellMar>
          <w:top w:w="0" w:type="dxa"/>
          <w:left w:w="0" w:type="dxa"/>
          <w:bottom w:w="0" w:type="dxa"/>
          <w:right w:w="0" w:type="dxa"/>
        </w:tblCellMar>
      </w:tblPr>
      <w:tblGrid>
        <w:gridCol w:w="271"/>
        <w:gridCol w:w="7996"/>
      </w:tblGrid>
      <w:tr>
        <w:trPr/>
        <w:tc>
          <w:tcPr>
            <w:tcW w:w="27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(a)</w:t>
            </w:r>
          </w:p>
        </w:tc>
        <w:tc>
          <w:tcPr>
            <w:tcW w:w="7996" w:type="dxa"/>
            <w:tcBorders/>
            <w:vAlign w:val="center"/>
          </w:tcPr>
          <w:p>
            <w:pPr>
              <w:pStyle w:val="TableContents"/>
              <w:bidi w:val="0"/>
              <w:spacing w:lineRule="auto" w:line="240" w:before="0" w:after="283"/>
              <w:ind w:left="0" w:right="0" w:hanging="0"/>
              <w:jc w:val="left"/>
              <w:rPr/>
            </w:pPr>
            <w:r>
              <w:rPr>
                <w:rFonts w:ascii="Times New Roman;Times;serif" w:hAnsi="Times New Roman;Times;serif"/>
                <w:b w:val="false"/>
                <w:i w:val="false"/>
                <w:caps w:val="false"/>
                <w:smallCaps w:val="false"/>
                <w:sz w:val="15"/>
              </w:rPr>
              <w:t>Other selling, general, and administrative expenses primarily includes: utilities, insurance, supplies, and other operating expenses.</w:t>
            </w:r>
            <w:r>
              <w:rPr/>
              <w:t>​</w:t>
            </w:r>
          </w:p>
        </w:tc>
      </w:tr>
    </w:tbl>
    <w:tbl>
      <w:tblPr>
        <w:tblW w:w="4742" w:type="dxa"/>
        <w:jc w:val="left"/>
        <w:tblInd w:w="0" w:type="dxa"/>
        <w:tblLayout w:type="fixed"/>
        <w:tblCellMar>
          <w:top w:w="0" w:type="dxa"/>
          <w:left w:w="0" w:type="dxa"/>
          <w:bottom w:w="0" w:type="dxa"/>
          <w:right w:w="0" w:type="dxa"/>
        </w:tblCellMar>
      </w:tblPr>
      <w:tblGrid>
        <w:gridCol w:w="286"/>
        <w:gridCol w:w="445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(b)</w:t>
            </w:r>
          </w:p>
        </w:tc>
        <w:tc>
          <w:tcPr>
            <w:tcW w:w="4456" w:type="dxa"/>
            <w:tcBorders/>
            <w:vAlign w:val="center"/>
          </w:tcPr>
          <w:p>
            <w:pPr>
              <w:pStyle w:val="TableContents"/>
              <w:bidi w:val="0"/>
              <w:spacing w:lineRule="auto" w:line="240" w:before="0" w:after="283"/>
              <w:jc w:val="left"/>
              <w:rPr>
                <w:rFonts w:ascii="Times New Roman;Times;serif" w:hAnsi="Times New Roman;Times;serif"/>
                <w:b w:val="false"/>
                <w:i w:val="false"/>
                <w:caps w:val="false"/>
                <w:smallCaps w:val="false"/>
                <w:sz w:val="15"/>
              </w:rPr>
            </w:pPr>
            <w:r>
              <w:rPr>
                <w:rFonts w:ascii="Times New Roman;Times;serif" w:hAnsi="Times New Roman;Times;serif"/>
                <w:b w:val="false"/>
                <w:i w:val="false"/>
                <w:caps w:val="false"/>
                <w:smallCaps w:val="false"/>
                <w:sz w:val="15"/>
              </w:rPr>
              <w:t>Other segment items include change in fair value of derivative liability.</w:t>
            </w:r>
          </w:p>
        </w:tc>
      </w:tr>
    </w:tbl>
    <w:p>
      <w:pPr>
        <w:pStyle w:val="TextBody"/>
        <w:bidi w:val="0"/>
        <w:spacing w:before="0" w:after="0"/>
        <w:ind w:left="360" w:right="0" w:hanging="0"/>
        <w:jc w:val="both"/>
        <w:rPr/>
      </w:pPr>
      <w:r>
        <w:rPr/>
        <w:t>​</w:t>
      </w:r>
    </w:p>
    <w:p>
      <w:pPr>
        <w:pStyle w:val="TextBody"/>
        <w:pBdr/>
        <w:bidi w:val="0"/>
        <w:spacing w:before="0" w:after="240"/>
        <w:ind w:left="0" w:right="0" w:hanging="360"/>
        <w:jc w:val="both"/>
        <w:rPr>
          <w:rFonts w:ascii="Times New Roman;Times;serif" w:hAnsi="Times New Roman;Times;serif"/>
          <w:b/>
          <w:sz w:val="20"/>
        </w:rPr>
      </w:pPr>
      <w:r>
        <w:rPr>
          <w:rFonts w:ascii="Times New Roman;Times;serif" w:hAnsi="Times New Roman;Times;serif"/>
          <w:b/>
          <w:sz w:val="20"/>
        </w:rPr>
        <w:t>18.    Income Taxes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taxed as a subchapter C corporation and is subject to U.S. Federal, state, and local taxes. The Company’s sole material asset is its ownership of Ultimate Parent, which is a limited liability company that is taxed as a partnership for U.S. federal and certain state and local income tax purposes. Ultimate Parent’s allocable share of taxable income and related tax credits, if any, are passed through to its unit holders, including the Company, and are included in the unit holders’ tax returns.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tax expense was $6,197 for both the three and six months ended June 30, 2026, compared to $158 for the comparable 2025 periods. The increase primarily relates to the Company’s transition to a taxable C corporation following the IPO on April 23, 2026. Prior to the IPO, substantially all income was generated by Ultimate Parent, which is treated as a partnership for U.S. federal income tax purposes and generally was not subject to entity-level income taxes.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effective tax rate for the three and six months ended June 30, 2026, was 17.3% and 9.4%, respectively, compared to 0.7% and 0.8% for the comparable 2025 periods. The 2026 effective tax rates were lower than the U.S. federal statutory rate of 21% primarily because a significant portion of the Company’s earnings is attributable to noncontrolling interests that are not subject to tax at Yesway, Inc. The results from the three and six months ended June 30, 2025, do not reflect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Yesway,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Notes to Condensed Consolidated Financial Statements </w:t>
      </w:r>
      <w:r>
        <w:rPr>
          <w:rFonts w:ascii="Times New Roman;Times;serif" w:hAnsi="Times New Roman;Times;serif"/>
          <w:b/>
          <w:i/>
          <w:sz w:val="20"/>
        </w:rPr>
        <w:t>(Unaudited)</w:t>
      </w:r>
    </w:p>
    <w:p>
      <w:pPr>
        <w:pStyle w:val="TextBody"/>
        <w:pBdr>
          <w:bottom w:val="single" w:sz="2" w:space="1" w:color="000000"/>
        </w:pBdr>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 except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significant income tax expense because prior to the Transactions, the consolidated Ultimate Parent pass-through-entity was not subject to corporate tax.</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the three and six months ended June 30, 2026, our deferred tax assets were primarily the result of our net operating loss carryforwards, interest limitation carryforwards, and deductible interest related to the tax receivable agreement, and our deferred tax liabilities were primarily the result of our investment in Ultimate Parent. Certain tax attributes remain subject to an annual limitation under Section 382 of the Internal Revenue Code of 1986 as a result of the historical acquisitions.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evaluate the realizability of our deferred tax assets on a quarterly basis and establish valuation allowances when it is more likely than not that all or a portion of a deferred tax may not be realized. As of June 30, 2026, we concluded, based on the weight of all available positive and negative evidence, that all but an immaterial amount of our deferred tax assets are more likely than not to be realized. As such, no material valuation allowance was recognized.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regularly monitors its uncertain tax positions, and as of June 30, 2026, there were no material uncertain tax benefits that, if realized, would affect the estimated annual effective tax rate, nor were there positions for which it is reasonably possible that the total amount of uncertain tax benefits will significantly increase or decrease within the next 12 months.</w:t>
      </w:r>
    </w:p>
    <w:p>
      <w:pPr>
        <w:pStyle w:val="TextBody"/>
        <w:bidi w:val="0"/>
        <w:spacing w:before="0" w:after="0"/>
        <w:ind w:left="0" w:right="0" w:hanging="0"/>
        <w:jc w:val="left"/>
        <w:rPr>
          <w:rFonts w:ascii="Times New Roman;Times;serif" w:hAnsi="Times New Roman;Times;serif"/>
          <w:b/>
          <w:sz w:val="20"/>
        </w:rPr>
      </w:pPr>
      <w:bookmarkStart w:id="1424" w:name="Tc_PdUe1ZiySkiEyEYRmAX7tw_8_0"/>
      <w:bookmarkStart w:id="1425" w:name="Tc_NNuUlRiYeU-qkGFJPfgf4A_7_0"/>
      <w:bookmarkStart w:id="1426" w:name="Tc_VKPc566ji0eTTY2O28aTCA_6_0"/>
      <w:bookmarkStart w:id="1427" w:name="Tc_-6UzjFjjkU-DAUml2Y-I2g_5_0"/>
      <w:bookmarkStart w:id="1428" w:name="Tc_ZrKNFG8LqE2akJsYDf2r-w_4_0"/>
      <w:bookmarkStart w:id="1429" w:name="Tc_CaQegpO7vUubwjJRHoLP-A_3_0"/>
      <w:bookmarkStart w:id="1430" w:name="Tc_exVYMPNAkU2peysduSFP4Q_2_0"/>
      <w:bookmarkStart w:id="1431" w:name="Tc_9PTDVd_0pkiI_0o2aFJTqQ_1_0"/>
      <w:bookmarkStart w:id="1432" w:name="_979d9e18_d4ae_4b0f_9d83_ba3e99b5c8d7"/>
      <w:bookmarkEnd w:id="1424"/>
      <w:bookmarkEnd w:id="1425"/>
      <w:bookmarkEnd w:id="1426"/>
      <w:bookmarkEnd w:id="1427"/>
      <w:bookmarkEnd w:id="1428"/>
      <w:bookmarkEnd w:id="1429"/>
      <w:bookmarkEnd w:id="1430"/>
      <w:bookmarkEnd w:id="1431"/>
      <w:bookmarkEnd w:id="1432"/>
      <w:r>
        <w:rPr>
          <w:rFonts w:ascii="Times New Roman;Times;serif" w:hAnsi="Times New Roman;Times;serif"/>
          <w:b/>
          <w:sz w:val="20"/>
        </w:rPr>
        <w:t>19. Subsequent Events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Subsequent to June 30, 2026, the Company entered into a new agreement with a third-party fuel supplier containing minimum retail gasoline volume purchase requirements. The following provides the revised total minimum volume purchase requirements as of August 1, 2026, (in thousands of gallons):</w:t>
      </w:r>
    </w:p>
    <w:p>
      <w:pPr>
        <w:pStyle w:val="TextBody"/>
        <w:bidi w:val="0"/>
        <w:spacing w:before="0" w:after="0"/>
        <w:ind w:left="0" w:right="0" w:hanging="0"/>
        <w:jc w:val="left"/>
        <w:rPr/>
      </w:pPr>
      <w:r>
        <w:rPr/>
        <w:t>​</w:t>
      </w:r>
    </w:p>
    <w:tbl>
      <w:tblPr>
        <w:tblW w:w="3493" w:type="dxa"/>
        <w:jc w:val="left"/>
        <w:tblInd w:w="0" w:type="dxa"/>
        <w:tblLayout w:type="fixed"/>
        <w:tblCellMar>
          <w:top w:w="0" w:type="dxa"/>
          <w:left w:w="0" w:type="dxa"/>
          <w:bottom w:w="0" w:type="dxa"/>
          <w:right w:w="0" w:type="dxa"/>
        </w:tblCellMar>
      </w:tblPr>
      <w:tblGrid>
        <w:gridCol w:w="2101"/>
        <w:gridCol w:w="346"/>
        <w:gridCol w:w="104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4135" cy="175260"/>
                      <wp:effectExtent l="0" t="0" r="0" b="0"/>
                      <wp:wrapNone/>
                      <wp:docPr id="274" name="Frame274"/>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64210" cy="175260"/>
                      <wp:effectExtent l="0" t="0" r="0" b="0"/>
                      <wp:wrapNone/>
                      <wp:docPr id="276" name="Frame276"/>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Years ending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period)</w:t>
            </w:r>
          </w:p>
        </w:tc>
        <w:tc>
          <w:tcPr>
            <w:tcW w:w="346"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131,817</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316,360</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305,722</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305,722</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245,722</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108,338</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1,413,681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33" w:name="Item2ManagementsDiscussionandAnal"/>
      <w:bookmarkStart w:id="1434" w:name="_11416eae_c9b7_44e0_819e_29305907018f"/>
      <w:bookmarkEnd w:id="1433"/>
      <w:bookmarkEnd w:id="1434"/>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200" w:after="20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The following discussion of our financial condition and results of operations should be read in conjunction with our unaudited condensed consolidated financial statements and the related notes included elsewhere in this Quarterly Report on Form 10-Q as well as the audited consolidated financial statements and notes thereto and the related Management’s Discussion and Analysis of Financial Condition and Results of Operations, both of which are contained in our final prospectus (the “Prospectus”) dated April 21, 2026, as filed with the SEC on April 23, 2026, pursuant to Rule 424(b)(4) under the Securities Act of 1933, as amended (the “Securities Act”), for our initial public offering (the “IPO”).</w:t>
      </w:r>
    </w:p>
    <w:p>
      <w:pPr>
        <w:pStyle w:val="TextBody"/>
        <w:bidi w:val="0"/>
        <w:spacing w:before="200" w:after="20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 xml:space="preserve">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 We assume no obligation to update any of these forward-looking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Yesway is a U.S.-based convenience store operator that has rapidly grown since its inception in 2015. We operate our portfolio primarily under two successful brands, Yesway and Allsup’s. Our sites are differentiated through a leading foodservice offering, featuring Allsup’s famous deep-fried burrito, and a wide variety of high-quality grocery items and private-label products. Our geographic footprint consists of stores located in attractive rural and suburban markets across the Southwest and Midwest, where we often are the convenience retail destination of choice and, effectively, the local grocer. We have a successful track record of growing through new store development and 27 acquisitions and believe we are well-positioned to continue to solidify our market position and grow our store count.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Established in 2015 by Brookwood, a leading real estate-focused private equity firm, Yesway was built from the ground up by a team of seasoned industry veterans who brought decades of expertise and best practices to the convenience retailing industry. By leveraging our deep real estate knowledge and prioritizing data-driven decision-making, we have assembled a portfolio of highly accessible, customer-friendly sites through a combination of new store construction and strategic acquisition activity. This approach has enabled us to expand our portfolio in both existing and new markets, build brand density, and evolve our store formats to better serve our communities.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Initial Public Offering and Transactions </w:t>
      </w:r>
    </w:p>
    <w:p>
      <w:pPr>
        <w:pStyle w:val="TextBody"/>
        <w:bidi w:val="0"/>
        <w:spacing w:before="0" w:after="0"/>
        <w:ind w:left="0" w:right="0" w:hanging="0"/>
        <w:jc w:val="both"/>
        <w:rPr>
          <w:spacing w:val="4"/>
        </w:rPr>
      </w:pPr>
      <w:r>
        <w:rPr>
          <w:spacing w:val="4"/>
        </w:rPr>
        <w:t>​</w:t>
      </w:r>
    </w:p>
    <w:p>
      <w:pPr>
        <w:pStyle w:val="TextBody"/>
        <w:bidi w:val="0"/>
        <w:spacing w:before="0" w:after="0"/>
        <w:ind w:left="0" w:right="0" w:hanging="0"/>
        <w:jc w:val="both"/>
        <w:rPr>
          <w:rFonts w:ascii="Times New Roman;Times;serif" w:hAnsi="Times New Roman;Times;serif"/>
          <w:spacing w:val="4"/>
          <w:sz w:val="20"/>
        </w:rPr>
      </w:pPr>
      <w:r>
        <w:rPr>
          <w:rFonts w:ascii="Times New Roman;Times;serif" w:hAnsi="Times New Roman;Times;serif"/>
          <w:spacing w:val="4"/>
          <w:sz w:val="20"/>
        </w:rPr>
        <w:t xml:space="preserve">In April 2026, we completed our IPO in which we issued and sold 16,100,000 shares of Class A common stock (including 2,100,000 shares sold pursuant to the full exercise of the underwriters option to purchase additional shares) at an offering price of $20.00 per share, resulting in net proceeds of approximately $301 million after deducting underwriting discounts and commissions. We used the net proceeds to purchase 16,100,000 LLC Interests directly from Ultimate Parent at a price per unit equal to the initial public offering price per share of Class A common stock, less the underwriting discounts and commissions. Ultimate Parent used the net proceeds from the IPO to fully redeem the Redeemable Senior Preferred Membership Interests and make a payment of $10.0 million on its Revolving Credit Facility. </w:t>
      </w:r>
    </w:p>
    <w:p>
      <w:pPr>
        <w:pStyle w:val="TextBody"/>
        <w:bidi w:val="0"/>
        <w:spacing w:before="0" w:after="0"/>
        <w:ind w:left="0" w:right="0" w:hanging="0"/>
        <w:jc w:val="both"/>
        <w:rPr>
          <w:spacing w:val="4"/>
        </w:rPr>
      </w:pPr>
      <w:r>
        <w:rPr>
          <w:spacing w:val="4"/>
        </w:rPr>
        <w:t>​</w:t>
      </w:r>
    </w:p>
    <w:p>
      <w:pPr>
        <w:pStyle w:val="TextBody"/>
        <w:bidi w:val="0"/>
        <w:spacing w:before="0" w:after="0"/>
        <w:ind w:left="0" w:right="0" w:hanging="0"/>
        <w:jc w:val="both"/>
        <w:rPr>
          <w:rFonts w:ascii="Times New Roman;Times;serif" w:hAnsi="Times New Roman;Times;serif"/>
          <w:spacing w:val="4"/>
          <w:sz w:val="20"/>
        </w:rPr>
      </w:pPr>
      <w:r>
        <w:rPr>
          <w:rFonts w:ascii="Times New Roman;Times;serif" w:hAnsi="Times New Roman;Times;serif"/>
          <w:spacing w:val="4"/>
          <w:sz w:val="20"/>
        </w:rPr>
        <w:t xml:space="preserve">Prior to the IPO, including for the periods presented in this Quarterly Report, all of our business operations have been conducted through Ultimate Parent and its subsidiaries. </w:t>
      </w:r>
    </w:p>
    <w:p>
      <w:pPr>
        <w:pStyle w:val="TextBody"/>
        <w:bidi w:val="0"/>
        <w:spacing w:before="0" w:after="0"/>
        <w:ind w:left="0" w:right="0" w:hanging="0"/>
        <w:jc w:val="both"/>
        <w:rPr>
          <w:spacing w:val="4"/>
        </w:rPr>
      </w:pPr>
      <w:r>
        <w:rPr>
          <w:spacing w:val="4"/>
        </w:rPr>
        <w:t>​</w:t>
      </w:r>
    </w:p>
    <w:p>
      <w:pPr>
        <w:pStyle w:val="TextBody"/>
        <w:bidi w:val="0"/>
        <w:spacing w:before="0" w:after="0"/>
        <w:ind w:left="0" w:right="0" w:hanging="0"/>
        <w:jc w:val="both"/>
        <w:rPr>
          <w:rFonts w:ascii="Times New Roman;Times;serif" w:hAnsi="Times New Roman;Times;serif"/>
          <w:spacing w:val="4"/>
          <w:sz w:val="20"/>
        </w:rPr>
      </w:pPr>
      <w:r>
        <w:rPr>
          <w:rFonts w:ascii="Times New Roman;Times;serif" w:hAnsi="Times New Roman;Times;serif"/>
          <w:spacing w:val="4"/>
          <w:sz w:val="20"/>
        </w:rPr>
        <w:t>We consummated the following organizational transactions (the “Transactions”) in connection with the IPO: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amended and restated Yesway, Inc.’s certificate of incorporation to, among other things, provide for (1) the creation of a class of common stock to be designated as Class A common stock, with each share of our Class A common stock entitling its holder to one vote per share on all matters presented to our stockholders generally, (2) the reclassification of the existing shares of common stock into shares of Class A common stock, and (3) the creation of a class of common stock to be designated as Class B common stock, with each share of our Class B common stock entitling its holder to one vote per share on all matters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presented to our stockholders generally, and that shares of our Class B common stock may only be held by the Continuing Equity Owners and their respective permitted transferees;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we acquired, by means of one or more mergers, the Blocker Companies and issued to the Blocker Shareholders 15,085,561 shares of our Class A common stock and rights under the Tax Receivable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we issued 32,009,185 shares of our Class B common stock to the Continuing Equity Owners, which was equal to the number of LLC Interests held directly or indirectly by such Continuing Equity Owners immediately following the Transactions, for nominal consideration;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we amended and restated the existing limited liability company agreement of Ultimate Parent to, among other things, (1) recapitalize all ownership interests in Ultimate Parent (including profits interests awarded under the existing limited liability company agreement of Ultimate Parent) into one class of LLC Interests and (2) appoint Yesway, Inc. as the sole managing member of Ultimate Parent upon its acquisition of LLC Interests in connection with the IPO;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we issued 16,100,000 shares of our Class A common stock to the purchasers in this offering (including 2,100,000 shares sold pursuant to the full exercise of the underwriters’ option to purchase additional shares) in exchange for net proceeds, after taking into account the underwriting discounts and commissions, of approximately $301 million;</w:t>
            </w:r>
          </w:p>
        </w:tc>
      </w:tr>
    </w:tbl>
    <w:tbl>
      <w:tblPr>
        <w:tblW w:w="7316" w:type="dxa"/>
        <w:jc w:val="left"/>
        <w:tblInd w:w="0" w:type="dxa"/>
        <w:tblLayout w:type="fixed"/>
        <w:tblCellMar>
          <w:top w:w="28" w:type="dxa"/>
          <w:left w:w="28" w:type="dxa"/>
          <w:bottom w:w="28" w:type="dxa"/>
          <w:right w:w="28" w:type="dxa"/>
        </w:tblCellMar>
      </w:tblPr>
      <w:tblGrid>
        <w:gridCol w:w="124"/>
        <w:gridCol w:w="256"/>
        <w:gridCol w:w="6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we made the Final Payment of $18 million to the Continuing Equity Owners;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Yesway, Inc. entered into (1) the Stockholders Agreement with Brookwood, (2) the Registration Rights Agreement with certain of the Continuing Equity Owners, and (3) the Tax Receivable Agreement with Ultimate Parent, the Continuing Equity Owners, and the Blocker Shareholders. </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Following our IPO, a</w:t>
      </w:r>
      <w:r>
        <w:rPr>
          <w:rFonts w:ascii="Times New Roman;Times;serif" w:hAnsi="Times New Roman;Times;serif"/>
          <w:spacing w:val="4"/>
          <w:sz w:val="20"/>
        </w:rPr>
        <w:t>s the sole managing member of Ultimate Parent, we operate and control all of the business and affairs of Ultimate Parent and, through Ultimate Parent and its direct and indirect subsidiaries, conduct our business. Yesway, Inc. has a minority economic interest in Ultimate Parent and will control the management of Ultimate Parent as its sole managing member. As a result, in this Quarterly report and in future periods, Yesway, Inc. will consolidate Ultimate Parent and record a significant non-controlling interest in a consolidated entity in Yesway, Inc.’s consolidated financial statements for the economic interest in Ultimate Parent held by the Continuing Equity Owners.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historical results of operations discussed in this section are those of the Company prior to the completion of the IPO, and do not reflect certain items that will affect our results of operations and financial condition after giving effect to the IPO and the use of proceeds from this offering.</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Factors Affecting the Comparability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New Store Development Initiatives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our flexible real estate strategy will provide an opportunity for further growth by enabling us to introduce either Yesway or Allsup’s stores in new regions depending on the strength of brand recognition in each market. From July 1, 2025, through June 30, 2026, we opened seven new-to-industry stores, including two in 2026, and closed one store.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Seasonality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earn a disproportionate amount of our annual operating income in the second and third quarters as a result of the climate and seasonal travel and buying patterns of our customers. Inclement weather, especially in the Southwest and Midwest regions of the United States where our stores are located, can negatively impact our financial results. Variations in geography also makes seasonality curves different due to varied weather, fuel availability, and supply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 of Dispositions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historical results in this Quarterly Report include the performance of 29 operating stores in Iowa and Kansas. Following a strategic evaluation, we determined that these markets are no longer an optimal use of our operational focus and resources primarily due to impending uneconomic capital expenditures required by new regulations in Iowa. We expect the sale of these stores and one additional closed store to be completed in 2026 and, given the immaterial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contribution of these locations, do not anticipate meaningful dis-synergies. However, we believe exiting these markets will tighten our operational focus and simplify our supply chains and reinforce our brand presence in our core regions.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Store Count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Store count reflects the number of stores open at the end of the reporting period. The following table represents the roll forward of store count through the second quarter of fiscal 2026:</w:t>
      </w:r>
    </w:p>
    <w:p>
      <w:pPr>
        <w:pStyle w:val="TextBody"/>
        <w:bidi w:val="0"/>
        <w:spacing w:before="0" w:after="240"/>
        <w:ind w:left="0" w:right="0" w:hanging="0"/>
        <w:jc w:val="both"/>
        <w:rPr/>
      </w:pPr>
      <w:r>
        <w:rPr/>
        <w:t>​</w:t>
      </w:r>
    </w:p>
    <w:tbl>
      <w:tblPr>
        <w:tblW w:w="3198" w:type="dxa"/>
        <w:jc w:val="left"/>
        <w:tblInd w:w="0" w:type="dxa"/>
        <w:tblLayout w:type="fixed"/>
        <w:tblCellMar>
          <w:top w:w="0" w:type="dxa"/>
          <w:left w:w="0" w:type="dxa"/>
          <w:bottom w:w="0" w:type="dxa"/>
          <w:right w:w="0" w:type="dxa"/>
        </w:tblCellMar>
      </w:tblPr>
      <w:tblGrid>
        <w:gridCol w:w="2326"/>
        <w:gridCol w:w="346"/>
        <w:gridCol w:w="52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477010" cy="175260"/>
                      <wp:effectExtent l="0" t="0" r="0" b="0"/>
                      <wp:wrapNone/>
                      <wp:docPr id="277" name="Frame277"/>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34010" cy="175260"/>
                      <wp:effectExtent l="0" t="0" r="0" b="0"/>
                      <wp:wrapNone/>
                      <wp:docPr id="279" name="Frame27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Stores, beginning of period</w:t>
            </w:r>
          </w:p>
        </w:tc>
        <w:tc>
          <w:tcPr>
            <w:tcW w:w="346" w:type="dxa"/>
            <w:tcBorders/>
            <w:shd w:fill="CCEEFF" w:val="clear"/>
            <w:vAlign w:val="center"/>
          </w:tcPr>
          <w:p>
            <w:pPr>
              <w:pStyle w:val="TableContents"/>
              <w:bidi w:val="0"/>
              <w:spacing w:before="0" w:after="1"/>
              <w:ind w:left="0" w:right="0" w:hanging="0"/>
              <w:jc w:val="left"/>
              <w:rPr/>
            </w:pPr>
            <w:r>
              <w:rPr/>
              <w:t>  ​ ​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Opened</w:t>
            </w:r>
          </w:p>
        </w:tc>
        <w:tc>
          <w:tcPr>
            <w:tcW w:w="346" w:type="dxa"/>
            <w:tcBorders/>
            <w:vAlign w:val="center"/>
          </w:tcPr>
          <w:p>
            <w:pPr>
              <w:pStyle w:val="TableContents"/>
              <w:bidi w:val="0"/>
              <w:spacing w:before="0" w:after="1"/>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3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Stores, end of period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450</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52" w:type="dxa"/>
            <w:tcBorders/>
            <w:vAlign w:val="center"/>
          </w:tcPr>
          <w:p>
            <w:pPr>
              <w:pStyle w:val="TableContents"/>
              <w:bidi w:val="0"/>
              <w:spacing w:lineRule="auto" w:line="240" w:before="0" w:after="283"/>
              <w:ind w:left="0" w:right="0" w:hanging="0"/>
              <w:jc w:val="left"/>
              <w:rPr/>
            </w:pPr>
            <w:r>
              <w:rPr>
                <w:rFonts w:ascii="Times New Roman;Times;serif" w:hAnsi="Times New Roman;Times;serif"/>
                <w:b w:val="false"/>
                <w:i w:val="false"/>
                <w:caps w:val="false"/>
                <w:smallCaps w:val="false"/>
                <w:sz w:val="15"/>
              </w:rPr>
              <w:t>Results for the periods above include 29 stores in Iowa and Kansas, which we expect to sell by the end of 2026 and, given the immaterial contribution of these locations, do not anticipate meaningful dis-synergies. However, we believe exiting these markets will tighten our operational focus, simplify our supply chains, and reinforce our brand presence in our core regions. Excluding these 29 locations, our store portfolio as of June 30, 2026, consisted of 421 stores, including 420 convenience stores and one liquor store.</w:t>
            </w:r>
            <w:r>
              <w:rPr/>
              <w: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Fuel Profitability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the retail fuel industry, has experienced historically high average revenue less cost of goods sold per gallon (exclusive of depreciation and amortization). Although this has remained relatively consistent, on a longer-term basis, this metric can fluctuate significantly, and sometimes unpredictably, in the short term. While the Company believes that its average revenue less cost of goods sold per gallon (exclusive of depreciation and amortization) will remain elevated from historical levels for the foreseeable future, it is possible that increased oil and fuel prices, higher interest rates, macroeconomic conditions and/or continuing conflicts or disruptions involving oil producing countries may materially impact the performance of this metric.</w:t>
      </w:r>
    </w:p>
    <w:p>
      <w:pPr>
        <w:pStyle w:val="TextBody"/>
        <w:bidi w:val="0"/>
        <w:spacing w:before="0" w:after="240"/>
        <w:ind w:left="0" w:right="0" w:hanging="0"/>
        <w:jc w:val="both"/>
        <w:rPr>
          <w:rFonts w:ascii="Times New Roman;Times;serif" w:hAnsi="Times New Roman;Times;serif"/>
          <w:spacing w:val="4"/>
          <w:sz w:val="20"/>
        </w:rPr>
      </w:pPr>
      <w:r>
        <w:rPr>
          <w:rFonts w:ascii="Times New Roman;Times;serif" w:hAnsi="Times New Roman;Times;serif"/>
          <w:spacing w:val="4"/>
          <w:sz w:val="20"/>
        </w:rPr>
        <w:t xml:space="preserve">Fuel sales less cost of goods sold (exclusive of depreciation and amortization) increased 36.0% for the three months ended June 30, 2026, as compared to the same period in 2025, primarily due to an increase in fuel margin to an average 52.6 cents per gallon (“cpg”) for the three months ended June 30, 2026, from 41.3 cpg in the same period in 2025. The increase in fuel margin contributed approximately 81% of the increase in fuel sales less cost of goods sold (exclusive of depreciation and amortization), with the remaining 19% attributable to the approximately 10.3 million gallon increase in fuel volume. </w:t>
      </w:r>
    </w:p>
    <w:p>
      <w:pPr>
        <w:pStyle w:val="TextBody"/>
        <w:bidi w:val="0"/>
        <w:spacing w:before="0" w:after="240"/>
        <w:ind w:left="0" w:right="0" w:hanging="0"/>
        <w:jc w:val="both"/>
        <w:rPr>
          <w:rFonts w:ascii="Times New Roman;Times;serif" w:hAnsi="Times New Roman;Times;serif"/>
          <w:spacing w:val="4"/>
          <w:sz w:val="20"/>
        </w:rPr>
      </w:pPr>
      <w:r>
        <w:rPr>
          <w:rFonts w:ascii="Times New Roman;Times;serif" w:hAnsi="Times New Roman;Times;serif"/>
          <w:spacing w:val="4"/>
          <w:sz w:val="20"/>
        </w:rPr>
        <w:t xml:space="preserve">Fuel sales less cost of goods sold (exclusive of depreciation and amortization) increased 41.6% for the six months ended June 30, 2026, as compared to the same period in 2025, primarily due to an increase in fuel margin to an average 51.1 cents per gallon (“cpg”) for the six months ended June 30, 2026, from 38.7 cpg in the same period in 2025. The increase in fuel margin contributed approximately 82% of the increase in fuel sales less cost of goods sold (exclusive of depreciation and amortization), with the remaining 18% attributable to the approximately 21.0 million gallon increase in fuel volume. </w:t>
      </w:r>
    </w:p>
    <w:p>
      <w:pPr>
        <w:pStyle w:val="TextBody"/>
        <w:bidi w:val="0"/>
        <w:spacing w:before="0" w:after="240"/>
        <w:ind w:left="0" w:right="0" w:hanging="0"/>
        <w:jc w:val="both"/>
        <w:rPr>
          <w:rFonts w:ascii="Times New Roman;Times;serif" w:hAnsi="Times New Roman;Times;serif"/>
          <w:spacing w:val="4"/>
          <w:sz w:val="20"/>
        </w:rPr>
      </w:pPr>
      <w:r>
        <w:rPr>
          <w:rFonts w:ascii="Times New Roman;Times;serif" w:hAnsi="Times New Roman;Times;serif"/>
          <w:spacing w:val="4"/>
          <w:sz w:val="20"/>
        </w:rPr>
        <w:t>The increase in fuel margin primarily reflects changes in market supply and demand dynamics, wholesale fuel price levels and volatility, local competition, and the timing lag between changes in wholesale fuel costs and corresponding retail price adjustments, which were influenced by recent geopolitical developments in the Middle East. These factors are highly interrelated and are not separately quantified by us in a manner that permits us to determine with reasonable precision the individual impact of each factor.</w:t>
      </w:r>
    </w:p>
    <w:tbl>
      <w:tblPr>
        <w:tblW w:w="10205" w:type="dxa"/>
        <w:jc w:val="left"/>
        <w:tblInd w:w="0" w:type="dxa"/>
        <w:tblLayout w:type="fixed"/>
        <w:tblCellMar>
          <w:top w:w="0" w:type="dxa"/>
          <w:left w:w="0" w:type="dxa"/>
          <w:bottom w:w="0" w:type="dxa"/>
          <w:right w:w="0" w:type="dxa"/>
        </w:tblCellMar>
      </w:tblPr>
      <w:tblGrid>
        <w:gridCol w:w="5848"/>
        <w:gridCol w:w="346"/>
        <w:gridCol w:w="211"/>
        <w:gridCol w:w="571"/>
        <w:gridCol w:w="346"/>
        <w:gridCol w:w="211"/>
        <w:gridCol w:w="571"/>
        <w:gridCol w:w="146"/>
        <w:gridCol w:w="211"/>
        <w:gridCol w:w="571"/>
        <w:gridCol w:w="346"/>
        <w:gridCol w:w="211"/>
        <w:gridCol w:w="616"/>
      </w:tblGrid>
      <w:tr>
        <w:trPr/>
        <w:tc>
          <w:tcPr>
            <w:tcW w:w="5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713480" cy="175260"/>
                      <wp:effectExtent l="0" t="0" r="0" b="0"/>
                      <wp:wrapNone/>
                      <wp:docPr id="280" name="Frame280"/>
                      <a:graphic xmlns:a="http://schemas.openxmlformats.org/drawingml/2006/main">
                        <a:graphicData uri="http://schemas.microsoft.com/office/word/2010/wordprocessingShape">
                          <wps:wsp>
                            <wps:cNvSpPr txBox="1"/>
                            <wps:spPr>
                              <a:xfrm>
                                <a:off x="0" y="0"/>
                                <a:ext cx="3713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62585" cy="175260"/>
                      <wp:effectExtent l="0" t="0" r="0" b="0"/>
                      <wp:wrapNone/>
                      <wp:docPr id="283" name="Frame28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62585" cy="175260"/>
                      <wp:effectExtent l="0" t="0" r="0" b="0"/>
                      <wp:wrapNone/>
                      <wp:docPr id="286" name="Frame2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92710" cy="175260"/>
                      <wp:effectExtent l="0" t="0" r="0" b="0"/>
                      <wp:wrapNone/>
                      <wp:docPr id="287" name="Frame28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62585" cy="175260"/>
                      <wp:effectExtent l="0" t="0" r="0" b="0"/>
                      <wp:wrapNone/>
                      <wp:docPr id="289" name="Frame2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91160" cy="175260"/>
                      <wp:effectExtent l="0" t="0" r="0" b="0"/>
                      <wp:wrapNone/>
                      <wp:docPr id="292" name="Frame29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center"/>
              <w:rPr/>
            </w:pPr>
            <w:r>
              <w:rPr/>
              <w:t> </w:t>
            </w:r>
          </w:p>
        </w:tc>
        <w:tc>
          <w:tcPr>
            <w:tcW w:w="19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8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center"/>
              <w:rPr/>
            </w:pPr>
            <w:r>
              <w:rPr/>
              <w:t>​</w:t>
            </w:r>
          </w:p>
        </w:tc>
        <w:tc>
          <w:tcPr>
            <w:tcW w:w="1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for margins on the basis of cpg)</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r>
      <w:tr>
        <w:trPr/>
        <w:tc>
          <w:tcPr>
            <w:tcW w:w="58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 Gallons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w:t>
            </w:r>
          </w:p>
        </w:tc>
      </w:tr>
      <w:tr>
        <w:trPr/>
        <w:tc>
          <w:tcPr>
            <w:tcW w:w="5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 Sales less cost of goods sold (exclusive of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w:t>
            </w:r>
          </w:p>
        </w:tc>
      </w:tr>
      <w:tr>
        <w:trPr/>
        <w:tc>
          <w:tcPr>
            <w:tcW w:w="58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 Margin (cpg)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r>
      <w:tr>
        <w:trPr/>
        <w:tc>
          <w:tcPr>
            <w:tcW w:w="58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pacing w:val="-4"/>
        </w:rPr>
      </w:pPr>
      <w:r>
        <w:rPr>
          <w:spacing w:val="-4"/>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pacing w:val="-4"/>
          <w:sz w:val="20"/>
        </w:rPr>
      </w:pPr>
      <w:r>
        <w:rPr>
          <w:rFonts w:ascii="Times New Roman;Times;serif" w:hAnsi="Times New Roman;Times;serif"/>
          <w:b/>
          <w:i/>
          <w:spacing w:val="-4"/>
          <w:sz w:val="20"/>
        </w:rPr>
        <w:t>Inside Merchandise Profitability</w:t>
      </w:r>
    </w:p>
    <w:p>
      <w:pPr>
        <w:pStyle w:val="TextBody"/>
        <w:bidi w:val="0"/>
        <w:spacing w:before="0" w:after="0"/>
        <w:ind w:left="0" w:right="0" w:hanging="0"/>
        <w:jc w:val="left"/>
        <w:rPr>
          <w:spacing w:val="-4"/>
        </w:rPr>
      </w:pPr>
      <w:r>
        <w:rPr>
          <w:spacing w:val="-4"/>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Inside merchandise sales less cost of goods sold (exclusive of depreciation and amortization) increased by 5.8% from $81.1 million for the three months ended June 30, 2025, to $85.8 million for the three months ended June 30, 2026, primarily due to higher inside merchandise sales resulting from net store growth, and pricing actions taken during 2025, together with an approximately 49 basis point improvement in inside merchandise margin.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increase in inside merchandise margin was primarily driven by pricing actions taken during 2025 and in the first half of 2026, as well as shifts in product mix, which increased average selling price per unit by 4.7% and contributed approximately 450 basis points to margin expansion, partially offset by an approximately 3.9% increase in average cost per unit, which reduced margin by approximately 242 basis points for the three months ended June 30, 2026, compared to the three months ended June 30,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Inside merchandise sales less cost of goods sold (exclusive of depreciation and amortization) increased by 10.4% from $147.7 million for the six months ended June 30, 2025, to $163.0 million for the six months ended June 30, 2026, primarily due to higher inside merchandise sales resulting from net store growth, and pricing actions taken during 2025, together with an approximately 118 basis point improvement in inside merchandise margin.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increase in inside merchandise margin was primarily driven by pricing actions taken during 2025 and in the first half of 2026, as well as shifts in product mix, which increased average selling price per unit by 4.4% and contributed approximately 420 basis points to margin expansion, partially offset by a 2.5% increase in average cost per unit, which reduced margin by approximately 156 basis points for the six months ended June 30, 2026, compared to the six months ended June 30,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18"/>
        <w:gridCol w:w="346"/>
        <w:gridCol w:w="211"/>
        <w:gridCol w:w="571"/>
        <w:gridCol w:w="301"/>
        <w:gridCol w:w="109"/>
        <w:gridCol w:w="211"/>
        <w:gridCol w:w="571"/>
        <w:gridCol w:w="271"/>
        <w:gridCol w:w="146"/>
        <w:gridCol w:w="211"/>
        <w:gridCol w:w="571"/>
        <w:gridCol w:w="301"/>
        <w:gridCol w:w="109"/>
        <w:gridCol w:w="211"/>
        <w:gridCol w:w="571"/>
        <w:gridCol w:w="376"/>
      </w:tblGrid>
      <w:tr>
        <w:trPr/>
        <w:tc>
          <w:tcPr>
            <w:tcW w:w="5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249930" cy="175260"/>
                      <wp:effectExtent l="0" t="0" r="0" b="0"/>
                      <wp:wrapNone/>
                      <wp:docPr id="293" name="Frame293"/>
                      <a:graphic xmlns:a="http://schemas.openxmlformats.org/drawingml/2006/main">
                        <a:graphicData uri="http://schemas.microsoft.com/office/word/2010/wordprocessingShape">
                          <wps:wsp>
                            <wps:cNvSpPr txBox="1"/>
                            <wps:spPr>
                              <a:xfrm>
                                <a:off x="0" y="0"/>
                                <a:ext cx="324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62585" cy="175260"/>
                      <wp:effectExtent l="0" t="0" r="0" b="0"/>
                      <wp:wrapNone/>
                      <wp:docPr id="296" name="Frame2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91135" cy="175260"/>
                      <wp:effectExtent l="0" t="0" r="0" b="0"/>
                      <wp:wrapNone/>
                      <wp:docPr id="297" name="Frame29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62585" cy="175260"/>
                      <wp:effectExtent l="0" t="0" r="0" b="0"/>
                      <wp:wrapNone/>
                      <wp:docPr id="300" name="Frame3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72085" cy="175260"/>
                      <wp:effectExtent l="0" t="0" r="0" b="0"/>
                      <wp:wrapNone/>
                      <wp:docPr id="301" name="Frame30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92710" cy="175260"/>
                      <wp:effectExtent l="0" t="0" r="0" b="0"/>
                      <wp:wrapNone/>
                      <wp:docPr id="302" name="Frame3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62585" cy="175260"/>
                      <wp:effectExtent l="0" t="0" r="0" b="0"/>
                      <wp:wrapNone/>
                      <wp:docPr id="304" name="Frame3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91135" cy="175260"/>
                      <wp:effectExtent l="0" t="0" r="0" b="0"/>
                      <wp:wrapNone/>
                      <wp:docPr id="305" name="Frame30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306"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62585" cy="175260"/>
                      <wp:effectExtent l="0" t="0" r="0" b="0"/>
                      <wp:wrapNone/>
                      <wp:docPr id="308" name="Frame3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38760" cy="175260"/>
                      <wp:effectExtent l="0" t="0" r="0" b="0"/>
                      <wp:wrapNone/>
                      <wp:docPr id="309" name="Frame309"/>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974"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7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974"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76" w:type="dxa"/>
            <w:tcBorders/>
            <w:vAlign w:val="center"/>
          </w:tcPr>
          <w:p>
            <w:pPr>
              <w:pStyle w:val="TableContents"/>
              <w:bidi w:val="0"/>
              <w:spacing w:before="0" w:after="0"/>
              <w:ind w:left="0" w:right="0" w:hanging="0"/>
              <w:jc w:val="center"/>
              <w:rPr/>
            </w:pPr>
            <w:r>
              <w:rPr/>
              <w:t>​</w:t>
            </w:r>
          </w:p>
        </w:tc>
      </w:tr>
      <w:tr>
        <w:trPr/>
        <w:tc>
          <w:tcPr>
            <w:tcW w:w="51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7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97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6" w:type="dxa"/>
            <w:tcBorders/>
            <w:vAlign w:val="center"/>
          </w:tcPr>
          <w:p>
            <w:pPr>
              <w:pStyle w:val="TableContents"/>
              <w:bidi w:val="0"/>
              <w:spacing w:before="0" w:after="0"/>
              <w:ind w:left="0" w:right="0" w:hanging="0"/>
              <w:jc w:val="center"/>
              <w:rPr/>
            </w:pPr>
            <w:r>
              <w:rPr/>
              <w:t>​</w:t>
            </w:r>
          </w:p>
        </w:tc>
      </w:tr>
      <w:tr>
        <w:trPr/>
        <w:tc>
          <w:tcPr>
            <w:tcW w:w="511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for percentages)</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27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76" w:type="dxa"/>
            <w:tcBorders/>
            <w:vAlign w:val="center"/>
          </w:tcPr>
          <w:p>
            <w:pPr>
              <w:pStyle w:val="TableContents"/>
              <w:bidi w:val="0"/>
              <w:spacing w:before="0" w:after="0"/>
              <w:ind w:left="0" w:right="0" w:hanging="0"/>
              <w:jc w:val="center"/>
              <w:rPr/>
            </w:pPr>
            <w:r>
              <w:rPr/>
              <w:t>​</w:t>
            </w:r>
          </w:p>
        </w:tc>
      </w:tr>
      <w:tr>
        <w:trPr/>
        <w:tc>
          <w:tcPr>
            <w:tcW w:w="51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Inside Merchandise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240.1</w:t>
            </w:r>
          </w:p>
        </w:tc>
        <w:tc>
          <w:tcPr>
            <w:tcW w:w="3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w:t>
            </w:r>
          </w:p>
        </w:tc>
        <w:tc>
          <w:tcPr>
            <w:tcW w:w="271"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453.8</w:t>
            </w:r>
          </w:p>
        </w:tc>
        <w:tc>
          <w:tcPr>
            <w:tcW w:w="3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425.2</w:t>
            </w:r>
          </w:p>
        </w:tc>
        <w:tc>
          <w:tcPr>
            <w:tcW w:w="376" w:type="dxa"/>
            <w:tcBorders/>
            <w:shd w:fill="CCEEFF" w:val="clear"/>
            <w:vAlign w:val="center"/>
          </w:tcPr>
          <w:p>
            <w:pPr>
              <w:pStyle w:val="TableContents"/>
              <w:bidi w:val="0"/>
              <w:spacing w:before="0" w:after="0"/>
              <w:ind w:left="0" w:right="0" w:hanging="0"/>
              <w:jc w:val="center"/>
              <w:rPr/>
            </w:pPr>
            <w:r>
              <w:rPr/>
              <w:t>​</w:t>
            </w:r>
          </w:p>
        </w:tc>
      </w:tr>
      <w:tr>
        <w:trPr/>
        <w:tc>
          <w:tcPr>
            <w:tcW w:w="51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Inside merchandise sales less cost of goods sold (exclusive of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85.8</w:t>
            </w:r>
          </w:p>
        </w:tc>
        <w:tc>
          <w:tcPr>
            <w:tcW w:w="3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2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162.9</w:t>
            </w:r>
          </w:p>
        </w:tc>
        <w:tc>
          <w:tcPr>
            <w:tcW w:w="3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w:t>
            </w:r>
          </w:p>
        </w:tc>
        <w:tc>
          <w:tcPr>
            <w:tcW w:w="376" w:type="dxa"/>
            <w:tcBorders/>
            <w:vAlign w:val="center"/>
          </w:tcPr>
          <w:p>
            <w:pPr>
              <w:pStyle w:val="TableContents"/>
              <w:bidi w:val="0"/>
              <w:spacing w:before="0" w:after="0"/>
              <w:ind w:left="0" w:right="0" w:hanging="0"/>
              <w:jc w:val="left"/>
              <w:rPr/>
            </w:pPr>
            <w:r>
              <w:rPr/>
              <w:t>​</w:t>
            </w:r>
          </w:p>
        </w:tc>
      </w:tr>
      <w:tr>
        <w:trPr/>
        <w:tc>
          <w:tcPr>
            <w:tcW w:w="51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Inside Merchandise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35.7</w:t>
            </w:r>
          </w:p>
        </w:tc>
        <w:tc>
          <w:tcPr>
            <w:tcW w:w="3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w:t>
            </w:r>
          </w:p>
        </w:tc>
        <w:tc>
          <w:tcPr>
            <w:tcW w:w="3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7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Same-Store Comparison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below table reflects the changes in fuel gallons, fuel sales less cost of goods sold (exclusive of depreciation and amortization), inside merchandise sales, inside merchandise sales less cost of goods sold (exclusive of depreciation and amortization), and total inside merchandise sales and fuel sales less cost of goods sold (exclusive of depreciation and amortization) year-over-year for the same-store base. We define the same-store base for a given period as all owned or leased stores that were open for the entirety of that period in both the current and prior years. This measure highlights the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performance of existing stores, while excluding the impact of new store openings and closures as well as acquisitions and divestitures.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255"/>
        <w:gridCol w:w="346"/>
        <w:gridCol w:w="548"/>
        <w:gridCol w:w="406"/>
        <w:gridCol w:w="560"/>
        <w:gridCol w:w="271"/>
        <w:gridCol w:w="109"/>
        <w:gridCol w:w="503"/>
        <w:gridCol w:w="373"/>
        <w:gridCol w:w="514"/>
        <w:gridCol w:w="320"/>
      </w:tblGrid>
      <w:tr>
        <w:trPr/>
        <w:tc>
          <w:tcPr>
            <w:tcW w:w="62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47980" cy="175260"/>
                      <wp:effectExtent l="0" t="0" r="0" b="0"/>
                      <wp:wrapNone/>
                      <wp:docPr id="311" name="Frame311"/>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57810" cy="175260"/>
                      <wp:effectExtent l="0" t="0" r="0" b="0"/>
                      <wp:wrapNone/>
                      <wp:docPr id="312" name="Frame31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55600" cy="175260"/>
                      <wp:effectExtent l="0" t="0" r="0" b="0"/>
                      <wp:wrapNone/>
                      <wp:docPr id="313" name="Frame313"/>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72085" cy="175260"/>
                      <wp:effectExtent l="0" t="0" r="0" b="0"/>
                      <wp:wrapNone/>
                      <wp:docPr id="314" name="Frame31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19405" cy="175260"/>
                      <wp:effectExtent l="0" t="0" r="0" b="0"/>
                      <wp:wrapNone/>
                      <wp:docPr id="316" name="Frame316"/>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36855" cy="175260"/>
                      <wp:effectExtent l="0" t="0" r="0" b="0"/>
                      <wp:wrapNone/>
                      <wp:docPr id="317" name="Frame317"/>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26390" cy="175260"/>
                      <wp:effectExtent l="0" t="0" r="0" b="0"/>
                      <wp:wrapNone/>
                      <wp:docPr id="318" name="Frame318"/>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3200" cy="175260"/>
                      <wp:effectExtent l="0" t="0" r="0" b="0"/>
                      <wp:wrapNone/>
                      <wp:docPr id="319" name="Frame31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1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90"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0" w:type="dxa"/>
            <w:tcBorders/>
            <w:vAlign w:val="center"/>
          </w:tcPr>
          <w:p>
            <w:pPr>
              <w:pStyle w:val="TableContents"/>
              <w:bidi w:val="0"/>
              <w:spacing w:before="0" w:after="1"/>
              <w:ind w:left="0" w:right="0" w:hanging="0"/>
              <w:jc w:val="left"/>
              <w:rPr/>
            </w:pPr>
            <w:r>
              <w:rPr/>
              <w:t>​</w:t>
            </w:r>
          </w:p>
        </w:tc>
      </w:tr>
      <w:tr>
        <w:trPr/>
        <w:tc>
          <w:tcPr>
            <w:tcW w:w="62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1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9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0" w:type="dxa"/>
            <w:tcBorders/>
            <w:vAlign w:val="center"/>
          </w:tcPr>
          <w:p>
            <w:pPr>
              <w:pStyle w:val="TableContents"/>
              <w:bidi w:val="0"/>
              <w:spacing w:before="0" w:after="1"/>
              <w:ind w:left="0" w:right="0" w:hanging="0"/>
              <w:jc w:val="left"/>
              <w:rPr/>
            </w:pPr>
            <w:r>
              <w:rPr/>
              <w:t>​</w:t>
            </w:r>
          </w:p>
        </w:tc>
      </w:tr>
      <w:tr>
        <w:trPr/>
        <w:tc>
          <w:tcPr>
            <w:tcW w:w="6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4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1"/>
              <w:ind w:left="0" w:right="0" w:hanging="0"/>
              <w:jc w:val="left"/>
              <w:rPr/>
            </w:pPr>
            <w:r>
              <w:rPr/>
              <w:t>  ​ ​ ​</w:t>
            </w:r>
          </w:p>
        </w:tc>
        <w:tc>
          <w:tcPr>
            <w:tcW w:w="5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271"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3" w:type="dxa"/>
            <w:tcBorders/>
            <w:vAlign w:val="center"/>
          </w:tcPr>
          <w:p>
            <w:pPr>
              <w:pStyle w:val="TableContents"/>
              <w:bidi w:val="0"/>
              <w:spacing w:before="0" w:after="1"/>
              <w:ind w:left="0" w:right="0" w:hanging="0"/>
              <w:jc w:val="left"/>
              <w:rPr/>
            </w:pPr>
            <w:r>
              <w:rPr/>
              <w:t>  ​ ​ ​</w:t>
            </w:r>
          </w:p>
        </w:tc>
        <w:tc>
          <w:tcPr>
            <w:tcW w:w="5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20" w:type="dxa"/>
            <w:tcBorders/>
            <w:vAlign w:val="center"/>
          </w:tcPr>
          <w:p>
            <w:pPr>
              <w:pStyle w:val="TableContents"/>
              <w:bidi w:val="0"/>
              <w:spacing w:before="0" w:after="1"/>
              <w:ind w:left="0" w:right="0" w:hanging="0"/>
              <w:jc w:val="center"/>
              <w:rPr/>
            </w:pPr>
            <w:r>
              <w:rPr/>
              <w:t> </w:t>
            </w:r>
          </w:p>
        </w:tc>
      </w:tr>
      <w:tr>
        <w:trPr/>
        <w:tc>
          <w:tcPr>
            <w:tcW w:w="6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Same-Store Comparison by Category</w:t>
            </w:r>
          </w:p>
        </w:tc>
        <w:tc>
          <w:tcPr>
            <w:tcW w:w="346" w:type="dxa"/>
            <w:tcBorders/>
            <w:shd w:fill="CCEEFF" w:val="clear"/>
            <w:vAlign w:val="center"/>
          </w:tcPr>
          <w:p>
            <w:pPr>
              <w:pStyle w:val="TableContents"/>
              <w:bidi w:val="0"/>
              <w:spacing w:before="0" w:after="1"/>
              <w:ind w:left="0" w:right="0" w:hanging="0"/>
              <w:jc w:val="left"/>
              <w:rPr/>
            </w:pPr>
            <w:r>
              <w:rPr/>
              <w:t> </w:t>
            </w:r>
          </w:p>
        </w:tc>
        <w:tc>
          <w:tcPr>
            <w:tcW w:w="548"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560" w:type="dxa"/>
            <w:tcBorders/>
            <w:shd w:fill="CCEEFF" w:val="clear"/>
            <w:vAlign w:val="center"/>
          </w:tcPr>
          <w:p>
            <w:pPr>
              <w:pStyle w:val="TableContents"/>
              <w:bidi w:val="0"/>
              <w:spacing w:before="0" w:after="1"/>
              <w:ind w:left="0" w:right="0" w:hanging="0"/>
              <w:jc w:val="right"/>
              <w:rPr/>
            </w:pPr>
            <w:r>
              <w:rPr/>
              <w:t>  ​</w:t>
            </w:r>
          </w:p>
        </w:tc>
        <w:tc>
          <w:tcPr>
            <w:tcW w:w="2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 </w:t>
            </w:r>
          </w:p>
        </w:tc>
        <w:tc>
          <w:tcPr>
            <w:tcW w:w="514" w:type="dxa"/>
            <w:tcBorders/>
            <w:shd w:fill="CCEEFF" w:val="clear"/>
            <w:vAlign w:val="center"/>
          </w:tcPr>
          <w:p>
            <w:pPr>
              <w:pStyle w:val="TableContents"/>
              <w:bidi w:val="0"/>
              <w:spacing w:before="0" w:after="1"/>
              <w:ind w:left="0" w:right="0" w:hanging="0"/>
              <w:jc w:val="right"/>
              <w:rPr/>
            </w:pPr>
            <w:r>
              <w:rPr/>
              <w:t>  ​</w:t>
            </w:r>
          </w:p>
        </w:tc>
        <w:tc>
          <w:tcPr>
            <w:tcW w:w="320" w:type="dxa"/>
            <w:tcBorders/>
            <w:shd w:fill="CCEEFF" w:val="clear"/>
            <w:vAlign w:val="center"/>
          </w:tcPr>
          <w:p>
            <w:pPr>
              <w:pStyle w:val="TableContents"/>
              <w:bidi w:val="0"/>
              <w:spacing w:before="0" w:after="1"/>
              <w:ind w:left="0" w:right="0" w:hanging="0"/>
              <w:jc w:val="left"/>
              <w:rPr/>
            </w:pPr>
            <w:r>
              <w:rPr/>
              <w:t>​</w:t>
            </w:r>
          </w:p>
        </w:tc>
      </w:tr>
      <w:tr>
        <w:trPr/>
        <w:tc>
          <w:tcPr>
            <w:tcW w:w="6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Fuel Gallons</w:t>
            </w:r>
          </w:p>
        </w:tc>
        <w:tc>
          <w:tcPr>
            <w:tcW w:w="346" w:type="dxa"/>
            <w:tcBorders/>
            <w:vAlign w:val="center"/>
          </w:tcPr>
          <w:p>
            <w:pPr>
              <w:pStyle w:val="TableContents"/>
              <w:bidi w:val="0"/>
              <w:spacing w:before="0" w:after="1"/>
              <w:ind w:left="0" w:right="0" w:hanging="0"/>
              <w:jc w:val="left"/>
              <w:rPr/>
            </w:pPr>
            <w:r>
              <w:rPr/>
              <w:t> </w:t>
            </w:r>
          </w:p>
        </w:tc>
        <w:tc>
          <w:tcPr>
            <w:tcW w:w="54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w:t>
            </w:r>
          </w:p>
        </w:tc>
        <w:tc>
          <w:tcPr>
            <w:tcW w:w="4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0.7</w:t>
            </w:r>
          </w:p>
        </w:tc>
        <w:tc>
          <w:tcPr>
            <w:tcW w:w="37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Fuel sales less cost of goods sold (exclusive of depreciation and amortization) (1)</w:t>
            </w:r>
          </w:p>
        </w:tc>
        <w:tc>
          <w:tcPr>
            <w:tcW w:w="346" w:type="dxa"/>
            <w:tcBorders/>
            <w:shd w:fill="CCEEFF" w:val="clear"/>
            <w:vAlign w:val="center"/>
          </w:tcPr>
          <w:p>
            <w:pPr>
              <w:pStyle w:val="TableContents"/>
              <w:bidi w:val="0"/>
              <w:spacing w:before="0" w:after="1"/>
              <w:ind w:left="0" w:right="0" w:hanging="0"/>
              <w:jc w:val="left"/>
              <w:rPr/>
            </w:pPr>
            <w:r>
              <w:rPr/>
              <w:t> </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32.6</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4" w:type="dxa"/>
            <w:tcBorders/>
            <w:shd w:fill="CCEEFF" w:val="clear"/>
            <w:vAlign w:val="center"/>
          </w:tcPr>
          <w:p>
            <w:pPr>
              <w:pStyle w:val="TableContents"/>
              <w:bidi w:val="0"/>
              <w:spacing w:before="0" w:after="1"/>
              <w:ind w:left="0" w:right="0" w:hanging="0"/>
              <w:jc w:val="righ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Inside Merchandise Sales</w:t>
            </w:r>
          </w:p>
        </w:tc>
        <w:tc>
          <w:tcPr>
            <w:tcW w:w="346" w:type="dxa"/>
            <w:tcBorders/>
            <w:vAlign w:val="center"/>
          </w:tcPr>
          <w:p>
            <w:pPr>
              <w:pStyle w:val="TableContents"/>
              <w:bidi w:val="0"/>
              <w:spacing w:before="0" w:after="1"/>
              <w:ind w:left="0" w:right="0" w:hanging="0"/>
              <w:jc w:val="left"/>
              <w:rPr/>
            </w:pPr>
            <w:r>
              <w:rPr/>
              <w:t> </w:t>
            </w:r>
          </w:p>
        </w:tc>
        <w:tc>
          <w:tcPr>
            <w:tcW w:w="54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w:t>
            </w:r>
          </w:p>
        </w:tc>
        <w:tc>
          <w:tcPr>
            <w:tcW w:w="4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w:t>
            </w:r>
          </w:p>
        </w:tc>
        <w:tc>
          <w:tcPr>
            <w:tcW w:w="37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Inside merchandise sales less cost of goods sold (exclusive of depreciation and amortization) (2)</w:t>
            </w:r>
          </w:p>
        </w:tc>
        <w:tc>
          <w:tcPr>
            <w:tcW w:w="346" w:type="dxa"/>
            <w:tcBorders/>
            <w:shd w:fill="CCEEFF" w:val="clear"/>
            <w:vAlign w:val="center"/>
          </w:tcPr>
          <w:p>
            <w:pPr>
              <w:pStyle w:val="TableContents"/>
              <w:bidi w:val="0"/>
              <w:spacing w:before="0" w:after="1"/>
              <w:ind w:left="0" w:right="0" w:hanging="0"/>
              <w:jc w:val="left"/>
              <w:rPr/>
            </w:pPr>
            <w:r>
              <w:rPr/>
              <w:t> </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5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fuel and inside merchandise sales less cost of goods sold (exclusive of depreciation and amortization)</w:t>
            </w:r>
          </w:p>
        </w:tc>
        <w:tc>
          <w:tcPr>
            <w:tcW w:w="346" w:type="dxa"/>
            <w:tcBorders/>
            <w:vAlign w:val="center"/>
          </w:tcPr>
          <w:p>
            <w:pPr>
              <w:pStyle w:val="TableContents"/>
              <w:bidi w:val="0"/>
              <w:spacing w:before="0" w:after="1"/>
              <w:ind w:left="0" w:right="0" w:hanging="0"/>
              <w:jc w:val="left"/>
              <w:rPr/>
            </w:pPr>
            <w:r>
              <w:rPr/>
              <w:t> </w:t>
            </w:r>
          </w:p>
        </w:tc>
        <w:tc>
          <w:tcPr>
            <w:tcW w:w="54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w:t>
            </w:r>
          </w:p>
        </w:tc>
        <w:tc>
          <w:tcPr>
            <w:tcW w:w="4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w:t>
            </w:r>
          </w:p>
        </w:tc>
        <w:tc>
          <w:tcPr>
            <w:tcW w:w="37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1" w:type="dxa"/>
            <w:tcBorders/>
            <w:vAlign w:val="center"/>
          </w:tcPr>
          <w:p>
            <w:pPr>
              <w:pStyle w:val="TableContents"/>
              <w:bidi w:val="0"/>
              <w:spacing w:lineRule="auto" w:line="240" w:before="0" w:after="283"/>
              <w:ind w:left="0" w:right="0" w:hanging="0"/>
              <w:jc w:val="left"/>
              <w:rPr/>
            </w:pPr>
            <w:r>
              <w:rPr>
                <w:rFonts w:ascii="Times New Roman;Times;serif" w:hAnsi="Times New Roman;Times;serif"/>
                <w:b w:val="false"/>
                <w:i w:val="false"/>
                <w:caps w:val="false"/>
                <w:smallCaps w:val="false"/>
                <w:sz w:val="15"/>
              </w:rPr>
              <w:t>Fuel sales less cost of goods sold (exclusive of depreciation and amortization) for the Iowa and Kansas stores were $1.2 million and $2.3 million in the three months and six months ended June 30, 2026, and $1.1 million and $2.0 million for the three and six months ended June 30, 2025, respectively.</w:t>
            </w:r>
            <w:r>
              <w:rPr/>
              <w:t>​</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41" w:type="dxa"/>
            <w:tcBorders/>
            <w:vAlign w:val="center"/>
          </w:tcPr>
          <w:p>
            <w:pPr>
              <w:pStyle w:val="TableContents"/>
              <w:bidi w:val="0"/>
              <w:spacing w:lineRule="auto" w:line="240" w:before="0" w:after="283"/>
              <w:ind w:left="0" w:right="0" w:hanging="0"/>
              <w:jc w:val="left"/>
              <w:rPr/>
            </w:pPr>
            <w:r>
              <w:rPr>
                <w:rFonts w:ascii="Times New Roman;Times;serif" w:hAnsi="Times New Roman;Times;serif"/>
                <w:b w:val="false"/>
                <w:i w:val="false"/>
                <w:caps w:val="false"/>
                <w:smallCaps w:val="false"/>
                <w:sz w:val="15"/>
              </w:rPr>
              <w:t>Inside merchandise sales less cost of goods sold for the Iowa and Kansas stores were $1.9 million and $3.4 million in the three months and six months ended June 30, 2026, respectively, and $2.0 million and $3.6 million in the six months ended June 30, 2026, and June 30, 2025, respectively.</w:t>
            </w:r>
            <w:r>
              <w:rPr/>
              <w:t>​</w:t>
            </w:r>
          </w:p>
        </w:tc>
      </w:tr>
    </w:tbl>
    <w:p>
      <w:pPr>
        <w:pStyle w:val="TextBody"/>
        <w:bidi w:val="0"/>
        <w:spacing w:lineRule="atLeast" w:line="200" w:before="0" w:after="0"/>
        <w:ind w:left="36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Three Months Ended June 30, 2026, Compared to the Three Months Ended June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was $920.8 million for the three months ended June 30, 2026, an increase of $243.1 million, or 35.9%, compared to the three months ended June 30, 2025. This increase was primarily attributable to an increase in fuel sales of $232.3 million, or 52.7%, and an increase in inside merchandise sales of $10.0 million, or 4.4%. Fuel sales increased due to $37.8 million, or 16.3%, of incremental fuel sales from new stores and $194.5 million, or 83.7%, due to same-store fuel sales, primarily attributable to a $1.27, or 42.8%, increase in the average price per gallon of fuel. The increase in average price per gallon primarily reflected higher fuel prices associated with volatility in fuel markets following recent geopolitical developments in the Middle East. These factors are highly interrelated and are not separately quantified by us in a manner that permits us to determine with reasonable precision the individual impact of each factor. Inside merchandise sales increased due to $7.4 million, or 74.0%, of incremental sales from new stores and $2.8 million attributable to a 28.0% increase in same-store sales, partially offset by $0.2 million decrease due to closed stores.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Expenses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Cost of Goods Sold (exclusive of depreciation and amortization)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goods sold (exclusive of depreciation and amortization) was $743.5 million for the three months ended June 30, 2026, an increase of $215.4 million, or 40.8%, compared to the three months ended June 30, 2025. This increase was attributable to $210.1 million increase of higher fuel cost of goods sold (exclusive of depreciation and amortization) and $5.3 million of higher inside merchandise cost of goods sold (exclusive of depreciation and amortization), primarily resulting from the related increase in sales. The increase in fuel cost of goods sold (exclusive of depreciation and amortization) was driven by a $26.2 million increase associated with higher fuel gallons sold and $183.9 million increase resulting from a 45.4% increase in the average per-gallon cost of fuel. The increase in average per gallon cost of fuel primarily reflects changes in market supply and demand dynamics, wholesale fuel price levels, and volatility, which were influenced by recent geopolitical developments in the Middle East.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Salaries and Employee Benefits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Salaries and employee benefits increased by $5.6 million, or 11.2%, for the three months ended June 30, 2026, compared to the three months ended June 30, 2025. Of this increase, approximately $4.7 million was related to equity-based compensation and approximately $1.3 million was related to new stores, partially offset by approximately $0.6 million decrease in same store costs due to better labor scheduling and approximately $0.1 million related to closed stores. Equity-based compensation only reflects a partial period due to the grants having been issued in conjunction with the IPO. In future periods, equity-based compensation is expected to increase as a result of recognition over a full period.</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Selling, general, and administrative expenses increased by $8.3 million, or 17.1%, for the three months ended June 30, 2026, compared to the three months ended June 30, 2025. This increase was primarily driven by an increase in charge card fees of $4.6 million related to the increase in sales, $1.0 million increase in insurance expense due to development on certain claims, and $1.9 million increase in facility expenses for new build-to-suit activity, partially offset by a $0.4 million decrease for IPO related costs incurred and acquisition expenses compared to the three months ended June 30,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Depreciation, Amortization, and Accretion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amortization, and accretion expense increased by $0.9 million, or 5.9%, for the three months ended June 30, 2026, compared to the three months ended June 30, 2025. This increase was due primarily to capital expenditures for new stores.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Loss (Gain) on Disposal of Assets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Gain on disposal of assets decreased by $2.0 million for the three months ended June 30, 2026, compared to the three months ended June 30, 2025. This decrease was due primarily to sales of miscellaneous real estate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expense, net decreased by $2.6 million for the three months ended June 30, 2026, compared to the three months ended June 30, 2025. The decrease in interest expense, net was primarily due to a reduction in our outstanding borrowings under our Revolving Credit Facility and a reduction in interest rates. See Note 6 in the Notes to the unaudited Condensed Consolidated Financial Statements in Part I, Item 1 of this Quarterly Report for more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 in Fair Value of Derivative Liability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in fair value of derivative liability was $0.0 million for the three months ended June 30, 2026, compared to $2.1 million in the three months ended June 30, 2025. Fair value of $0 was primarily due to timing as the Redeemable Senior Preferred Membership Interests were fully redeemed immediately subsequent to the IPO.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2026, Compared to the Six Months Ended June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was $1,604.4 million for the six months ended June 30, 2026, an increase of $326.4 million, or 25.5%, compared to the six months ended June 30, 2025. This increase was primarily attributable to an increase in fuel sales of $296.4 million, or 35.2%, and an increase in inside merchandise sales of $28.6 million, or 6.7%. Fuel sales increased due to $77.8 million, or 26.2%, of incremental fuel sales from new stores and $219.3 million, or 74.0%, due to same-store fuel sales, primarily attributable to a $0.77, or 25.9%, increase in the average price per gallon of fuel. The increase in average price per gallon primarily reflected higher fuel prices associated with volatility in fuel markets following recent geopolitical developments in the Middle East. These factors are highly interrelated and are not separately quantified by us in a manner that permits us to determine with reasonable precision the individual impact of each factor. Inside merchandise sales increased due to $18.5 million, or 64.7%, of incremental sales from new stores and $11.0 million attributable to a 38.5% increase in same-store sales, partially offset by $1.0 million decrease due to closed stores.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Goods Sold (exclusive of depreciation and amortization)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goods sold (exclusive of depreciation and amortization) was $1,272.6 million for the six months ended June 30, 2026, an increase of $264.0 million, or 26.2%, compared to the six months ended June 30, 2025. This increase was attributable to $250.7 million increase of higher fuel cost of goods sold (exclusive of depreciation and amortization) and $13.3 million of higher inside merchandise cost of goods sold (exclusive of depreciation and amortization), primarily resulting from the related increase in sales. The increase in fuel cost of goods sold (exclusive of depreciation and amortization) was driven by a $54.1 million increase associated with higher fuel gallons sold and $196.6 million increase resulting from a 25.0% increase in the average per-gallon cost of fuel. The increase in average per gallon cost of fuel primarily reflects changes in market supply and demand dynamics, wholesale fuel price levels, and volatility, which were influenced by recent geopolitical developments in the Middle East.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Salaries and Employee Benefits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Salaries and employee benefits increased by $6.2 million, or 6.3%, for the six months ended June 30, 2026, compared to the six months ended June 30, 2025. Of this increase, approximately $4.7 million was related to equity-based compensation and approximately $3.2 million was related to new stores, partially offset by approximately $1.6 million decrease in same store costs due to better labor scheduling and approximately $0.4 million related to closed stores. Equity-based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compensation only reflects a partial period due to the grants having been issued in conjunction with the IPO. In future periods, equity-based compensation is expected to increase as a result of recognition over a full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Selling, general, and administrative expenses increased by $8.9 million, or 9.4%, for the six months ended June 30, 2026, compared to the six months ended June 30, 2025. This increase was primarily driven by a $6.4 million increase in charge card fees due to increased sales and $4.6 million increase in facility expenses for new build-to-suit activity, partially offset by a $0.8 million decrease for IPO related costs and $1.4 million decrease for acquisition related costs incurred compared to the six months ended June 30,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Depreciation, Amortization, and Accretion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amortization, and accretion expense increased by $1.4 million, or 4.5%, for the six months ended June 30, 2026, compared to the six months ended June 30, 2025. This increase was due primarily to capital expenditures for new stores.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Loss (Gain) on Disposal of Assets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Gain on disposal of assets decreased by $2.6 million for the six months ended June 30, 2026, compared to the six months ended June 30, 2025. This decrease was due primarily to sales of miscellaneous real estate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expense, net decreased by $4.9 million for the six months ended June 30, 2026, compared to the six months ended June 30, 2025. The decrease in interest expense, net was primarily due to a reduction in our outstanding borrowings under our Revolving Credit Facility and a reduction in interest rates. See Note 6 in the Notes to the unaudited Condensed Consolidated Financial Statements in Part I, Item 1 of this Quarterly Report  for more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 in Fair Value of Derivative Liability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in fair value of derivative liability was $0.0 million for the six months ended June 30, 2026, compared to $0.8 million in the six months ended June 30, 2025. Fair value of $0 was primarily due to timing as the Redeemable Senior Preferred Membership Interests were fully redeemed immediately subsequent to the IPO.</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use non-GAAP financial measures, such as Adjusted EBITDA and Store Contribution, to supplement financial information presented in accordance with GAAP. We believe that excluding certain items from our GAAP results allows management to better understand our consolidated financial performance, in the case of Adjusted EBITDA, and the direct performance of our stores, in the case of Store Contribution,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performance and enabling them to make more meaningful period to period comparisons. There are limitations to the use of the non-GAAP financial measures presented in this Quarterly Report. For example, our non-GAAP financial measures may not be comparable to similarly titled measures of other companies. Additionally, Store Contribution excludes costs that we incur on an enterprise level that while essential in supporting our store operations, are not directly related to store operations, and that we believe result in efficiencies of scale and confer other benefits across our business. Other companies, including companies in our industry, may calculate non-GAAP financial measures differently than we do, limiting the usefulness of those measures for comparative purposes.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define Adjusted EBITDA, a non-GAAP measure, as net income (loss) before change in fair value of derivative liability, interest expense, net, income tax expense, depreciation, amortization and accretion, loss (gain) on disposal of assets, long-lived asset impairment, acquisition, financing, integration, and equity-based compensation costs. Adjusted EBITDA may not be comparable to similarly titled metrics of other companies due to differences in methods of calculation.</w:t>
      </w:r>
    </w:p>
    <w:p>
      <w:pPr>
        <w:pStyle w:val="TextBody"/>
        <w:bidi w:val="0"/>
        <w:spacing w:before="0" w:after="240"/>
        <w:ind w:left="0" w:right="0" w:hanging="0"/>
        <w:jc w:val="both"/>
        <w:rPr/>
      </w:pPr>
      <w:r>
        <w:rPr/>
        <w:t>​</w:t>
      </w:r>
    </w:p>
    <w:tbl>
      <w:tblPr>
        <w:tblW w:w="7853" w:type="dxa"/>
        <w:jc w:val="left"/>
        <w:tblInd w:w="0" w:type="dxa"/>
        <w:tblLayout w:type="fixed"/>
        <w:tblCellMar>
          <w:top w:w="0" w:type="dxa"/>
          <w:left w:w="0" w:type="dxa"/>
          <w:bottom w:w="0" w:type="dxa"/>
          <w:right w:w="0" w:type="dxa"/>
        </w:tblCellMar>
      </w:tblPr>
      <w:tblGrid>
        <w:gridCol w:w="3736"/>
        <w:gridCol w:w="346"/>
        <w:gridCol w:w="211"/>
        <w:gridCol w:w="466"/>
        <w:gridCol w:w="346"/>
        <w:gridCol w:w="211"/>
        <w:gridCol w:w="481"/>
        <w:gridCol w:w="146"/>
        <w:gridCol w:w="211"/>
        <w:gridCol w:w="571"/>
        <w:gridCol w:w="346"/>
        <w:gridCol w:w="211"/>
        <w:gridCol w:w="57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372360" cy="175260"/>
                      <wp:effectExtent l="0" t="0" r="0" b="0"/>
                      <wp:wrapNone/>
                      <wp:docPr id="320" name="Frame320"/>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95910" cy="175260"/>
                      <wp:effectExtent l="0" t="0" r="0" b="0"/>
                      <wp:wrapNone/>
                      <wp:docPr id="323" name="Frame32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05435" cy="175260"/>
                      <wp:effectExtent l="0" t="0" r="0" b="0"/>
                      <wp:wrapNone/>
                      <wp:docPr id="326" name="Frame32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92710" cy="175260"/>
                      <wp:effectExtent l="0" t="0" r="0" b="0"/>
                      <wp:wrapNone/>
                      <wp:docPr id="327" name="Frame3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62585" cy="175260"/>
                      <wp:effectExtent l="0" t="0" r="0" b="0"/>
                      <wp:wrapNone/>
                      <wp:docPr id="329" name="Frame3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62585" cy="175260"/>
                      <wp:effectExtent l="0" t="0" r="0" b="0"/>
                      <wp:wrapNone/>
                      <wp:docPr id="332" name="Frame3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146" w:type="dxa"/>
            <w:tcBorders/>
            <w:vAlign w:val="center"/>
          </w:tcPr>
          <w:p>
            <w:pPr>
              <w:pStyle w:val="TableContents"/>
              <w:bidi w:val="0"/>
              <w:spacing w:before="0" w:after="0"/>
              <w:ind w:left="0" w:right="0" w:hanging="0"/>
              <w:jc w:val="center"/>
              <w:rPr/>
            </w:pPr>
            <w:r>
              <w:rPr/>
              <w:t> </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amortization, and accretion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financing, and integration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80.2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from the three months ended June 30, 2025, to the three months ended June 30, 2026, was primarily attributable to the increase in fuel margin and inside merchandise margin from same-store sales and increases in fuel gallons and inside merchandise sales from new stores, partially offset by higher operating expenses from new stores.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from the six months ended June 30, 2025, to the six months ended June 30, 2026, was primarily attributable to the increase in fuel margin and inside merchandise margin increases from same-store sales and increases in fuel gallons and inside merchandise sales from new stores, partially offset by higher operating expenses from new stores.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Store Contribution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define Store Contribution, a non-GAAP measure, as income (loss) from operations before depreciation, amortization and accretion, loss (gain) on disposal of assets, impairment, acquisition financing, integration, and stock-based compensation costs, and overhead expenses directly attributed to support staff and corporate offices that, while essential in supporting our store operations, are not directly related to store operations. The excluded overhead expenses include:</w:t>
      </w:r>
    </w:p>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benefits: the costs associated with corporate officers, senior management, and back office staff;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 expenses: all costs associated with maintaining corporate offices, including rent, real estate taxes, utilities and telecommunications;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audit, accounting, and consulting service fees, third party legal fees, payroll processing fees for corporate payroll, and recruiting fees for corporate staff;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advertising costs: retainers and fees for public relations and advertising firms related to overall Company brand and marketing that is not directly related to a store;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software and hardware: software and hardware costs associated with corporate officers, senior management, and back office staff;</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supplies costs: costs for office supplies for corporate staff;</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repairs and maintenance costs: costs related to supplies and equipment for corporate employees and corporate offices;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and travel expenses: expenses associated with travel by corporate personnel and corporate meetings, trainings, and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costs: costs associated with maintaining insurance policies related to corporate offices and staff; in contrast, individual stores are separately allocated insurance expenses for applicable premiums; and</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and expenses: costs related primarily to bank fees, equipment rental, membership dues for retail/fuel associations and charitable contributions.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Store Contribution may not be comparable to similarly titled metrics of other companies due to differences in methods of calculation. Additionally, Store Contribution excludes costs that we incur on an enterprise level that while essential in supporting our store operations, are not directly related to store operations, and that we believe result in efficiencies of scale and confer other benefits across our business. As a result of the exclusion of these enterprise-level expenses from our presentation of Store Contribution, our presentation of Store Contribution is not, and should not be construed as, indicative of our overall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contains a reconciliation of income from operations to Store Contribution for the three and six months ended June 30, 2026, and June 30, 2025, respectively:</w:t>
      </w:r>
    </w:p>
    <w:tbl>
      <w:tblPr>
        <w:tblW w:w="7958" w:type="dxa"/>
        <w:jc w:val="left"/>
        <w:tblInd w:w="0" w:type="dxa"/>
        <w:tblLayout w:type="fixed"/>
        <w:tblCellMar>
          <w:top w:w="0" w:type="dxa"/>
          <w:left w:w="0" w:type="dxa"/>
          <w:bottom w:w="0" w:type="dxa"/>
          <w:right w:w="0" w:type="dxa"/>
        </w:tblCellMar>
      </w:tblPr>
      <w:tblGrid>
        <w:gridCol w:w="3736"/>
        <w:gridCol w:w="346"/>
        <w:gridCol w:w="211"/>
        <w:gridCol w:w="466"/>
        <w:gridCol w:w="346"/>
        <w:gridCol w:w="211"/>
        <w:gridCol w:w="481"/>
        <w:gridCol w:w="146"/>
        <w:gridCol w:w="211"/>
        <w:gridCol w:w="571"/>
        <w:gridCol w:w="346"/>
        <w:gridCol w:w="211"/>
        <w:gridCol w:w="67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372360" cy="175260"/>
                      <wp:effectExtent l="0" t="0" r="0" b="0"/>
                      <wp:wrapNone/>
                      <wp:docPr id="333" name="Frame333"/>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95910" cy="175260"/>
                      <wp:effectExtent l="0" t="0" r="0" b="0"/>
                      <wp:wrapNone/>
                      <wp:docPr id="336" name="Frame33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8"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05435" cy="175260"/>
                      <wp:effectExtent l="0" t="0" r="0" b="0"/>
                      <wp:wrapNone/>
                      <wp:docPr id="339" name="Frame33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92710" cy="175260"/>
                      <wp:effectExtent l="0" t="0" r="0" b="0"/>
                      <wp:wrapNone/>
                      <wp:docPr id="340" name="Frame34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1" name="Frame3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62585" cy="175260"/>
                      <wp:effectExtent l="0" t="0" r="0" b="0"/>
                      <wp:wrapNone/>
                      <wp:docPr id="342" name="Frame3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29260" cy="175260"/>
                      <wp:effectExtent l="0" t="0" r="0" b="0"/>
                      <wp:wrapNone/>
                      <wp:docPr id="345" name="Frame3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1"/>
              <w:ind w:left="0" w:right="0" w:hanging="0"/>
              <w:jc w:val="left"/>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1"/>
              <w:ind w:left="0" w:right="0" w:hanging="0"/>
              <w:jc w:val="left"/>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7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146" w:type="dxa"/>
            <w:tcBorders/>
            <w:vAlign w:val="center"/>
          </w:tcPr>
          <w:p>
            <w:pPr>
              <w:pStyle w:val="TableContents"/>
              <w:bidi w:val="0"/>
              <w:spacing w:before="0" w:after="1"/>
              <w:ind w:left="0" w:right="0" w:hanging="0"/>
              <w:jc w:val="center"/>
              <w:rPr/>
            </w:pPr>
            <w:r>
              <w:rPr/>
              <w:t> </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14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amortization, and accretion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disposal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Overhead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advertising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software and hardware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supplies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Repairs and maintenance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Meetings and travel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financing, and integration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overhead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Store Contribution (1)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110.9</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9" w:type="dxa"/>
            <w:tcBorders/>
            <w:vAlign w:val="center"/>
          </w:tcPr>
          <w:p>
            <w:pPr>
              <w:pStyle w:val="TableContents"/>
              <w:bidi w:val="0"/>
              <w:spacing w:lineRule="auto" w:line="240" w:before="0" w:after="283"/>
              <w:ind w:left="0" w:right="0" w:hanging="0"/>
              <w:jc w:val="left"/>
              <w:rPr/>
            </w:pPr>
            <w:r>
              <w:rPr>
                <w:rFonts w:ascii="Times New Roman;Times;serif" w:hAnsi="Times New Roman;Times;serif"/>
                <w:b w:val="false"/>
                <w:i w:val="false"/>
                <w:caps w:val="false"/>
                <w:smallCaps w:val="false"/>
                <w:sz w:val="15"/>
              </w:rPr>
              <w:t>Store Contribution generated by the 29 stores in Iowa and Kansas was $0.5 million and $0.6 million in the three months ended June 30, 2026, and June 30, 2025, respectively, and $0.6 million in each of the six months ended June 30, 2026, and June 30, 2025, respectively.</w:t>
            </w:r>
            <w:r>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increase from the three months ended June 30, 2025, to the three months ended June 30, 2026, was primarily attributable to the increase in fuel margin and inside merchandise margin from same store sales and increases in fuel gallons and inside merchandise sales from new stores, partially offset by higher operating expenses from new stores.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from the six months ended June 30, 2025, to the six months ended June 30, 2026, was primarily attributable to the increase in fuel margin and inside merchandise margin increases from same-store sales and increases in fuel gallons and inside merchandise sales from new stores, partially offset by higher operating expenses from new stores.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primary sources of liquidity are cash generated from store operations, financing proceeds, our Revolving Credit Facility, and capital raises. Our primary cash needs are for capital expenditures, working capital, and to meet debt service requirements. As of June 30, 2026, we had an outstanding debt balance of $399.5 million, consisting of $389.5 million and $10.0 million outstanding under our Term Loan Facility and Revolving Credit Facility, respectively.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Our capital expenditures are primarily related to new store development and ongoing store maintenance and improvements. We plan to invest approximately $50 million to $70 million on new store developments in fiscal year 2026. </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Our primary working capital requirements are for the purchase of inventory, payroll, rent, other store facilities costs, distribution costs, and general and administrative costs. Our working capital requirements fluctuate during the year, driven primarily by the timing of opportunistic inventory purchases and new store openings and the inherent seasonality of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our cash and cash equivalents position and the $136.9 million remaining available on our Revolving Credit Facility as of June 30, 2026, along with our expected net cash to be provided by operating activities and capital raises, will be sufficient to satisfy the working capital needs of our business for at least the next 12 months. If cash provided by operating activities and borrowings under our Revolving Credit Facility are not sufficient or available to meet our capital requirements, then we will be required to obtain additional equity or debt financings in the future. There can be no assurance equity or debt financings will be available to us when we need it or, if available, the terms will be satisfactory to us and not dilutive to our then-current stockholders.</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 xml:space="preserve">In addition, we are obligated to make payments under the Tax Receivable Agreement. Although the actual timing and amount of any payments that we make to the Continuing Equity Owners and the Blocker Shareholders under the Tax Receivable Agreement will vary, we expect that the payments will be significant. Any payments we make to Continuing Equity Owners and the Blocker Shareholders under the Tax Receivable Agreement will generally reduce the amount of overall cash flow that would have otherwise been available to us or to Ultimate Parent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If we do not have sufficient funds to pay tax or other liabilities or to fund our operations (as a result of Ultimate Parent’s inability to make distributions due to various limitations and restrictions or as a result of the acceleration of our obligations under the Tax Receivable Agreement), we may have to raise additional capital, including by borrowing funds under our Revolving Credit Facility or future debt agreements. Additional capital may not be available on preferable terms, or, in the case of borrowing funds under our Revolving Credit Facility or future debt agreement, could materially and adversely affect our cash flow, liquidity and financial condition, and subject us to various restrictions imposed by any lenders of such funds. In addition, if Ultimate Parent does not have sufficient funds to make distributions, our ability to declare and pay cash dividends will also be restricted or impaired.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Debt Facilities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debt, including both the current and long-term portions of our outstanding debt, financing obligations, and finance lease liabilities, net of debt discounts and debt issuance costs, decreased by $41.0 million to $618.4 million as of June 30, 2026, compared to $659.4 million as of December 31, 2025, primarily as a result of a lower outstanding balance on the Revolving Credit Facility.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our outstanding debt, financing obligations, and finance lease liabilities, including current maturities, net of debt discounts and debt issuance costs, consisted of:</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688"/>
        <w:gridCol w:w="346"/>
        <w:gridCol w:w="278"/>
        <w:gridCol w:w="893"/>
      </w:tblGrid>
      <w:tr>
        <w:trPr/>
        <w:tc>
          <w:tcPr>
            <w:tcW w:w="8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516880" cy="175260"/>
                      <wp:effectExtent l="0" t="0" r="0" b="0"/>
                      <wp:wrapNone/>
                      <wp:docPr id="346" name="Frame346"/>
                      <a:graphic xmlns:a="http://schemas.openxmlformats.org/drawingml/2006/main">
                        <a:graphicData uri="http://schemas.microsoft.com/office/word/2010/wordprocessingShape">
                          <wps:wsp>
                            <wps:cNvSpPr txBox="1"/>
                            <wps:spPr>
                              <a:xfrm>
                                <a:off x="0" y="0"/>
                                <a:ext cx="551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76530" cy="175260"/>
                      <wp:effectExtent l="0" t="0" r="0" b="0"/>
                      <wp:wrapNone/>
                      <wp:docPr id="348" name="Frame348"/>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67055" cy="175260"/>
                      <wp:effectExtent l="0" t="0" r="0" b="0"/>
                      <wp:wrapNone/>
                      <wp:docPr id="349" name="Frame349"/>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6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center"/>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8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86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r>
      <w:tr>
        <w:trPr/>
        <w:tc>
          <w:tcPr>
            <w:tcW w:w="8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Facility, net of debt discounts and debt issuance costs</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382.3</w:t>
            </w:r>
          </w:p>
        </w:tc>
      </w:tr>
      <w:tr>
        <w:trPr/>
        <w:tc>
          <w:tcPr>
            <w:tcW w:w="86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223.9</w:t>
            </w:r>
          </w:p>
        </w:tc>
      </w:tr>
      <w:tr>
        <w:trPr/>
        <w:tc>
          <w:tcPr>
            <w:tcW w:w="8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r>
      <w:tr>
        <w:trPr/>
        <w:tc>
          <w:tcPr>
            <w:tcW w:w="86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including financing obligations and finance lease liabilities, net of debt discounts and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618.4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more information on our debt facilities, see “Description of Indebtedness” in our Prospectus.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Cash Provided by 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operating activities of $104.9 million during the six months ended June 30, 2026, increased $55.7 million compared to net cash provided by operating activities during the six months ended June 30, 2025. The increase was primarily due to an increase in net cash provided by new stores of approximately $7.9 million and by same stores of approximately $43.2 million primarily driven by higher gross profit, partially offset by a decrement of approximately $3.1 million in working capital needs. The decrement in working capital was partially attributable to a reduction in build-to-suit activity, as we had three fewer stores under construction at June 30, 2026, than at June 30, 2025. Specifically, there was a reduction of $6.9 million in non-trade accounts payable and accrued expenses and other current liabilities primarily attributable to lower construction-related payables from stores under construction. In addition, there was an increase in other current assets of $8.2 million due to the timing of reimbursements from landlords for stores whose construction was completed and collections were pending final reconciliations. Construction costs incurred under our build-to-suit program are recorded as other current assets and reflected in operating cash flows because such amounts are expected to be reimbursed by landlords and do not represent investments in Company owned long-lived assets. Also contributing to the decrement in working capital needs was an increase in accounts receivable of $4.9 million primarily attributable to increased credit card sales, an increase in inventory of $6.6 million due to six more stores being open as of June 30, 2026, compared to June 30, 2025, as well as the higher cost of fuel inventory. These decreases in working capital performance were partially offset by an increase of approximately $26.2 million attributable to increased accounts payable for fuel.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Cash Used In 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during the six months ended June 30, 2026, of $37.1 million decreased $8.6 million compared to net cash used in investing activities during the six months ended June 30, 2025, primarily because we had three fewer stores under construction at June 30, 2026, than at June 30,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Cash Used in 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financing activities during the six months ended June 30, 2026, of $22.8 million increased $15.2 million compared to net cash used in financing activities during the six months ended June 30, 2025, primarily attributable to cash paid to fully redeem redeemable senior preferred membership interests of $252.3 million, lower net borrowings under the Revolving Credit Facility of $40.0 million, and an increase in distributions to members of $17.3 million, partially offset by net proceeds from the IPO of $293.7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 discussion of new accounting pronouncements recently adopted and not yet adopted, see the notes to the unaudited condensed consolidated financial statements included elsewhere in this Quarterly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unaudited condensed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Critical accounting estimates are those that we believe are both significant and that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factors.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our most critical accounting estimates 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evaluate tangible assets that are being amortized for impairment whenever events or changes in circumstances indicate that the carrying amount of the asset may not be recoverable. If the sum of the expected future undiscounted cash flows is less than the carrying amount of the assets, an impairment loss is recognized to the extent the carrying value of the assets exceeds their estimated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estimates involve highly subjective judgements of the price that would be received to sell an asset in an orderly transaction between market participants. Management derives its estimate from recent offers, actual sales or dispositions of assets, and other indications of fair value, which are considered Level 3 inputs. Adjustments may be required to these market-based inputs based on internal projections and knowledge of our operations, historical performance, and trends in sales and operating costs. If our estimates or underlying assumptions change in the future, our operating results may be materially impacted.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Leased Properties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enter into build-to-suit arrangements for construction of new stores. We hire certified real estate appraisers to estimate the fair value of these properties upon lease commencement to determine whether the leases qualify as operating leases. Determinations of fair value estimates involve subjective judgements. We provide the appraisers with estimated total construction costs based on project bids, contractor agreements, and anticipated project scope changes, building site plans, and financial projections which are used in their analysis. The appraisals comply with the Uniform Standards of Professional Appraisal Practice and are prepared using three methods: (1) Cost Approach, (2) Sales Comparison Approach, and (3) Income Capitalization Approach, with the Income Capitalization Approach considered the most appropriate. If the estimated fair value or underlying assumptions are inaccurate, the leases would be characterized as financing leases on our balance sheet rather than operating leases.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 receivable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in Note 2 to our condensed consolidated financial statements included in this Quarterly Report, we are party to the TRA with Ultimate Parent, the Continuing Equity Owners, and the Blocker Shareholders under which we are contractually committed to make cash payments of 85% of the amount of certain income tax benefits that we realize, or in some circumstance are deemed to realize, as a result of TRA covered tax attributes, and certain additional tax benefits (such as interest deductions) arising from payments under the TRA. Amounts payable under the TRA are contingent upon, among other things, (i) generation of future taxable income over the term of the TRA and (ii) future changes in tax laws. If we do not generate sufficient taxable income over the term of the TRA to utilize the tax benefits, then we generally would not be required to make the related TRA payments. Therefore, we will only recognize a liability for TRA payments if we determine it is probable that we will generate sufficient future taxable income over the term of the TRA to utilize the related tax benefits. Estimating future taxable income is inherently uncertain and requires judgement. In projecting future taxable income, we consider our historical results and incorporate certain assumptions, including revenue growth, and operating margins, among others. As of June 30, 2026, we recognized $92.3 million of liabilities related to our obligations under the TRA, after concluding that it was probable we would have sufficient future taxable income to utilize the related tax benefits generated by all transactions that occurred in connection with the IPO including the overallotment exercise. If we determine in the future that we will not be able to fully utilize all or part of the related tax benefits, we will de-recognize the portion of the liability related to the benefits not expected to be utilized.</w:t>
      </w:r>
    </w:p>
    <w:p>
      <w:pPr>
        <w:pStyle w:val="TextBody"/>
        <w:bidi w:val="0"/>
        <w:spacing w:before="0" w:after="240"/>
        <w:ind w:left="0" w:right="0" w:hanging="0"/>
        <w:jc w:val="left"/>
        <w:rPr>
          <w:rFonts w:ascii="Times New Roman;Times;serif" w:hAnsi="Times New Roman;Times;serif"/>
          <w:b/>
          <w:sz w:val="20"/>
        </w:rPr>
      </w:pPr>
      <w:bookmarkStart w:id="1435" w:name="Item3QuantitativeandQualitative"/>
      <w:bookmarkStart w:id="1436" w:name="_faad4787_6104_4403_9a0e_f35805105860"/>
      <w:bookmarkEnd w:id="1435"/>
      <w:bookmarkEnd w:id="1436"/>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We are exposed to market risk from a variety of sources, including changes in interest rates and commodity prices. Our market risk exposures related to interest rates and commodity prices are discussed below.</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We may be subject to market risk from exposure to changes in interest rates based on our financing, investing, and cash management activities. For the majority of the debt, interest is calculated at a fixed margin over SOFR; therefore, we are exposed to price risks associated with interest rates. Interest rates on commercial bank borrowings and debt offerings could be higher than current levels, causing our financing costs to increase accordingly. The interest rate associated with our Revolving Credit Facility decreased from 7.43% as of June 30, 2025, to 5.89% as of June 30, 2026. The interest rate associated with our Term Loan Facility decreased from 7.94% as of June 30, 2025, to 7.26% as of June 30, 2026.</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Although this could limit our ability to raise funds in the debt capital markets and impact our ability to pass along increased interest to our customers, we expect to remain competitive with respect to acquisitions and capital projects, as our competitors would likely face similar circumstances.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Commodity Price Risk</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We have limited exposure to commodity price risk as a result of the payment and volume-related discounts in certain of our fuel supply contracts with fuel suppliers, which are based on the market price of fuel. Significant increases in fuel prices could result in significant increases in the retail price of fuel and in lower sales to consumers and dealers. A significant percentage of our sales are made with the use of credit cards. Because the interchange fees we pay when credit cards are used to make purchases are based on transaction amounts, higher fuel prices at the pump and higher gallon movement result in higher credit card expenses. These additional fees increase operating expenses.</w:t>
      </w:r>
    </w:p>
    <w:p>
      <w:pPr>
        <w:pStyle w:val="TextBody"/>
        <w:bidi w:val="0"/>
        <w:spacing w:before="0" w:after="240"/>
        <w:ind w:left="0" w:right="0" w:hanging="0"/>
        <w:jc w:val="left"/>
        <w:rPr>
          <w:rFonts w:ascii="Times New Roman;Times;serif" w:hAnsi="Times New Roman;Times;serif"/>
          <w:b/>
          <w:sz w:val="20"/>
        </w:rPr>
      </w:pPr>
      <w:bookmarkStart w:id="1437" w:name="Item4ControlsandProcedures"/>
      <w:bookmarkStart w:id="1438" w:name="_b7d6208f_5652_4604_8fac_25bb7183ec13"/>
      <w:bookmarkEnd w:id="1437"/>
      <w:bookmarkEnd w:id="1438"/>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Limitations on Effectiveness of Controls and Procedures</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the supervision and with the participation of our management, including the Chief Executive Officer (principal executive officer) and Chief Financial Officer (principal financial officer), we conducted an evaluation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at the reasonable assurance level as of June 30, 2026.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changes to our internal control over financial reporting that occurred during the three months ended June 30, 2026,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1439" w:name="PartII"/>
      <w:bookmarkStart w:id="1440" w:name="_ef936818_1cde_4b80_b21a_819a4016340d"/>
      <w:bookmarkEnd w:id="1439"/>
      <w:bookmarkEnd w:id="1440"/>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441" w:name="Item1LegalProceedings"/>
      <w:bookmarkEnd w:id="1441"/>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From time to time, we are subject to various legal proceedings and claims, either asserted or unasserted, which arise in the ordinary course of business. While the outcome of these matters cannot be predicted with certainty, we do not believe that the outcome of any of these matters, individually or in the aggregate, will have a material adverse effect on our consolidated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condition, results of operations, or cash flows. Refer to Part I. Item 1. Note 16, “Commitments and Contingencies” of “Notes to unaudited Condensed Consolidated Financial Statements” for additional information.</w:t>
      </w:r>
    </w:p>
    <w:p>
      <w:pPr>
        <w:pStyle w:val="TextBody"/>
        <w:bidi w:val="0"/>
        <w:spacing w:before="0" w:after="240"/>
        <w:ind w:left="0" w:right="0" w:hanging="0"/>
        <w:jc w:val="left"/>
        <w:rPr>
          <w:rFonts w:ascii="Times New Roman;Times;serif" w:hAnsi="Times New Roman;Times;serif"/>
          <w:b/>
          <w:sz w:val="20"/>
        </w:rPr>
      </w:pPr>
      <w:bookmarkStart w:id="1442" w:name="Item1ARiskFactors"/>
      <w:bookmarkStart w:id="1443" w:name="_ff8d7f2f_198d_482c_b378_80d9d188e08d"/>
      <w:bookmarkEnd w:id="1442"/>
      <w:bookmarkEnd w:id="1443"/>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Investing in our common stock involves a high degree of risk. For a detailed discussion of the risks that affect our business, please refer to the section titled “Risk Factors” in Yesway, Inc.’s final prospectus dated April 23, 2026, and filed with the SEC on April 23, 2026. There have been no material changes to our risk factors as previously disclosed in the Prospectus.</w:t>
      </w:r>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1444" w:name="Item_2_Unregistered_Sales_of_Equity"/>
      <w:bookmarkStart w:id="1445" w:name="_69718e39_46bd_495c_ba36_5d132f89fee1"/>
      <w:bookmarkEnd w:id="1444"/>
      <w:bookmarkEnd w:id="144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 other than were previously reported on a Current Report on Form 8-K.</w:t>
      </w:r>
    </w:p>
    <w:p>
      <w:pPr>
        <w:pStyle w:val="TextBody"/>
        <w:bidi w:val="0"/>
        <w:spacing w:before="0" w:after="0"/>
        <w:ind w:left="0" w:right="0" w:hanging="0"/>
        <w:jc w:val="left"/>
        <w:rPr/>
      </w:pPr>
      <w:r>
        <w:rPr/>
        <w:t>​</w:t>
      </w:r>
    </w:p>
    <w:p>
      <w:pPr>
        <w:pStyle w:val="TextBody"/>
        <w:bidi w:val="0"/>
        <w:spacing w:before="200" w:after="20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446" w:name="Item_3_Defaults_Upon_Senior_Securities"/>
      <w:bookmarkStart w:id="1447" w:name="_d8402243_bd59_4fd0_80df_c304e6969bb5"/>
      <w:bookmarkEnd w:id="1446"/>
      <w:bookmarkEnd w:id="1447"/>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48" w:name="Item_4_Mine_Safety_Disclosures"/>
      <w:bookmarkStart w:id="1449" w:name="_e6aec918_1775_46df_9653_3b83804664d4"/>
      <w:bookmarkEnd w:id="1448"/>
      <w:bookmarkEnd w:id="1449"/>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50" w:name="Item5OtherInformation"/>
      <w:bookmarkStart w:id="1451" w:name="_0b97abb2_c98a_4284_bd5d_4b838e14c2b5"/>
      <w:bookmarkEnd w:id="1450"/>
      <w:bookmarkEnd w:id="1451"/>
      <w:r>
        <w:rPr>
          <w:rFonts w:ascii="Times New Roman;Times;serif" w:hAnsi="Times New Roman;Times;serif"/>
          <w:b/>
          <w:sz w:val="20"/>
        </w:rPr>
        <w:t>Item 5. Other Information</w:t>
      </w:r>
    </w:p>
    <w:tbl>
      <w:tblPr>
        <w:tblW w:w="966" w:type="dxa"/>
        <w:jc w:val="left"/>
        <w:tblInd w:w="0" w:type="dxa"/>
        <w:tblLayout w:type="fixed"/>
        <w:tblCellMar>
          <w:top w:w="28" w:type="dxa"/>
          <w:left w:w="28" w:type="dxa"/>
          <w:bottom w:w="28" w:type="dxa"/>
          <w:right w:w="28" w:type="dxa"/>
        </w:tblCellMar>
      </w:tblPr>
      <w:tblGrid>
        <w:gridCol w:w="124"/>
        <w:gridCol w:w="256"/>
        <w:gridCol w:w="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tbl>
      <w:tblPr>
        <w:tblW w:w="981" w:type="dxa"/>
        <w:jc w:val="left"/>
        <w:tblInd w:w="0" w:type="dxa"/>
        <w:tblLayout w:type="fixed"/>
        <w:tblCellMar>
          <w:top w:w="28" w:type="dxa"/>
          <w:left w:w="28" w:type="dxa"/>
          <w:bottom w:w="28" w:type="dxa"/>
          <w:right w:w="28" w:type="dxa"/>
        </w:tblCellMar>
      </w:tblPr>
      <w:tblGrid>
        <w:gridCol w:w="124"/>
        <w:gridCol w:w="271"/>
        <w:gridCol w:w="58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tbl>
      <w:tblPr>
        <w:tblW w:w="10205" w:type="dxa"/>
        <w:jc w:val="left"/>
        <w:tblInd w:w="0" w:type="dxa"/>
        <w:tblLayout w:type="fixed"/>
        <w:tblCellMar>
          <w:top w:w="28" w:type="dxa"/>
          <w:left w:w="28" w:type="dxa"/>
          <w:bottom w:w="28" w:type="dxa"/>
          <w:right w:w="28" w:type="dxa"/>
        </w:tblCellMar>
      </w:tblPr>
      <w:tblGrid>
        <w:gridCol w:w="124"/>
        <w:gridCol w:w="223"/>
        <w:gridCol w:w="9858"/>
      </w:tblGrid>
      <w:tr>
        <w:trPr/>
        <w:tc>
          <w:tcPr>
            <w:tcW w:w="124" w:type="dxa"/>
            <w:tcBorders/>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5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three months ended June 30, 2026, no</w:t>
            </w:r>
            <w:r>
              <w:rPr>
                <w:caps w:val="false"/>
                <w:smallCaps w:val="false"/>
              </w:rPr>
              <w:t xml:space="preserve"> </w:t>
            </w:r>
            <w:r>
              <w:rPr>
                <w:rFonts w:ascii="Times New Roman;Times;serif" w:hAnsi="Times New Roman;Times;serif"/>
                <w:b w:val="false"/>
                <w:i w:val="false"/>
                <w:caps w:val="false"/>
                <w:smallCaps w:val="false"/>
                <w:sz w:val="20"/>
              </w:rPr>
              <w:t>director</w:t>
            </w:r>
            <w:r>
              <w:rPr>
                <w:caps w:val="false"/>
                <w:smallCaps w:val="false"/>
              </w:rPr>
              <w:t xml:space="preserve"> </w:t>
            </w:r>
            <w:r>
              <w:rPr>
                <w:rFonts w:ascii="Times New Roman;Times;serif" w:hAnsi="Times New Roman;Times;serif"/>
                <w:b w:val="false"/>
                <w:i w:val="false"/>
                <w:caps w:val="false"/>
                <w:smallCaps w:val="false"/>
                <w:sz w:val="20"/>
              </w:rPr>
              <w:t>or</w:t>
            </w:r>
            <w:r>
              <w:rPr>
                <w:caps w:val="false"/>
                <w:smallCaps w:val="false"/>
              </w:rPr>
              <w:t xml:space="preserve"> </w:t>
            </w:r>
            <w:r>
              <w:rPr>
                <w:rFonts w:ascii="Times New Roman;Times;serif" w:hAnsi="Times New Roman;Times;serif"/>
                <w:b w:val="false"/>
                <w:i w:val="false"/>
                <w:caps w:val="false"/>
                <w:smallCaps w:val="false"/>
                <w:sz w:val="20"/>
              </w:rPr>
              <w:t>officer</w:t>
            </w:r>
            <w:r>
              <w:rPr>
                <w:caps w:val="false"/>
                <w:smallCaps w:val="false"/>
              </w:rPr>
              <w:t xml:space="preserve"> </w:t>
            </w:r>
            <w:r>
              <w:rPr>
                <w:rFonts w:ascii="Times New Roman;Times;serif" w:hAnsi="Times New Roman;Times;serif"/>
                <w:b w:val="false"/>
                <w:i w:val="false"/>
                <w:caps w:val="false"/>
                <w:smallCaps w:val="false"/>
                <w:sz w:val="20"/>
              </w:rPr>
              <w:t>of the Company adopted or terminated a “Rule 10b5-1 trading arrangement” or “non-Rule 10b5-1 trading arrangement,” as each term is defined in Item 408(a) of Regulation S K.</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52" w:name="Item6Exhibits"/>
      <w:bookmarkStart w:id="1453" w:name="_c288dd46_0f84_484b_bc39_31c0002cb817"/>
      <w:bookmarkEnd w:id="1452"/>
      <w:bookmarkEnd w:id="1453"/>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82"/>
        <w:gridCol w:w="6677"/>
        <w:gridCol w:w="481"/>
        <w:gridCol w:w="759"/>
        <w:gridCol w:w="616"/>
        <w:gridCol w:w="635"/>
        <w:gridCol w:w="155"/>
      </w:tblGrid>
      <w:tr>
        <w:trPr/>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60070" cy="175260"/>
                      <wp:effectExtent l="0" t="0" r="0" b="0"/>
                      <wp:wrapNone/>
                      <wp:docPr id="350" name="Frame350"/>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239895" cy="29210"/>
                      <wp:effectExtent l="0" t="0" r="0" b="0"/>
                      <wp:wrapNone/>
                      <wp:docPr id="351" name="Frame351"/>
                      <a:graphic xmlns:a="http://schemas.openxmlformats.org/drawingml/2006/main">
                        <a:graphicData uri="http://schemas.microsoft.com/office/word/2010/wordprocessingShape">
                          <wps:wsp>
                            <wps:cNvSpPr txBox="1"/>
                            <wps:spPr>
                              <a:xfrm>
                                <a:off x="0" y="0"/>
                                <a:ext cx="42398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05435" cy="29210"/>
                      <wp:effectExtent l="0" t="0" r="0" b="0"/>
                      <wp:wrapNone/>
                      <wp:docPr id="352" name="Frame352"/>
                      <a:graphic xmlns:a="http://schemas.openxmlformats.org/drawingml/2006/main">
                        <a:graphicData uri="http://schemas.microsoft.com/office/word/2010/wordprocessingShape">
                          <wps:wsp>
                            <wps:cNvSpPr txBox="1"/>
                            <wps:spPr>
                              <a:xfrm>
                                <a:off x="0" y="0"/>
                                <a:ext cx="305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81965" cy="29210"/>
                      <wp:effectExtent l="0" t="0" r="0" b="0"/>
                      <wp:wrapNone/>
                      <wp:docPr id="353" name="Frame353"/>
                      <a:graphic xmlns:a="http://schemas.openxmlformats.org/drawingml/2006/main">
                        <a:graphicData uri="http://schemas.microsoft.com/office/word/2010/wordprocessingShape">
                          <wps:wsp>
                            <wps:cNvSpPr txBox="1"/>
                            <wps:spPr>
                              <a:xfrm>
                                <a:off x="0" y="0"/>
                                <a:ext cx="4819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391160" cy="29210"/>
                      <wp:effectExtent l="0" t="0" r="0" b="0"/>
                      <wp:wrapNone/>
                      <wp:docPr id="354" name="Frame354"/>
                      <a:graphic xmlns:a="http://schemas.openxmlformats.org/drawingml/2006/main">
                        <a:graphicData uri="http://schemas.microsoft.com/office/word/2010/wordprocessingShape">
                          <wps:wsp>
                            <wps:cNvSpPr txBox="1"/>
                            <wps:spPr>
                              <a:xfrm>
                                <a:off x="0" y="0"/>
                                <a:ext cx="391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03225" cy="29210"/>
                      <wp:effectExtent l="0" t="0" r="0" b="0"/>
                      <wp:wrapNone/>
                      <wp:docPr id="355" name="Frame355"/>
                      <a:graphic xmlns:a="http://schemas.openxmlformats.org/drawingml/2006/main">
                        <a:graphicData uri="http://schemas.microsoft.com/office/word/2010/wordprocessingShape">
                          <wps:wsp>
                            <wps:cNvSpPr txBox="1"/>
                            <wps:spPr>
                              <a:xfrm>
                                <a:off x="0" y="0"/>
                                <a:ext cx="4032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5" w:type="dxa"/>
            <w:tcBorders/>
            <w:vAlign w:val="center"/>
          </w:tcPr>
          <w:p>
            <w:pPr>
              <w:pStyle w:val="TableContents"/>
              <w:bidi w:val="0"/>
              <w:spacing w:before="0" w:after="0"/>
              <w:ind w:left="0" w:right="0" w:hanging="0"/>
              <w:jc w:val="left"/>
              <w:rPr/>
            </w:pPr>
            <w:r>
              <w:rPr/>
              <w:t>​</w:t>
            </w:r>
          </w:p>
        </w:tc>
      </w:tr>
      <w:tr>
        <w:trPr/>
        <w:tc>
          <w:tcPr>
            <w:tcW w:w="882" w:type="dxa"/>
            <w:tcBorders/>
            <w:vAlign w:val="center"/>
          </w:tcPr>
          <w:p>
            <w:pPr>
              <w:pStyle w:val="TableContents"/>
              <w:bidi w:val="0"/>
              <w:spacing w:lineRule="auto" w:line="357" w:before="33" w:after="20"/>
              <w:ind w:left="0" w:right="0" w:hanging="0"/>
              <w:jc w:val="center"/>
              <w:rPr/>
            </w:pPr>
            <w:r>
              <w:rPr/>
              <w:t>​</w:t>
            </w:r>
          </w:p>
        </w:tc>
        <w:tc>
          <w:tcPr>
            <w:tcW w:w="6677" w:type="dxa"/>
            <w:tcBorders/>
            <w:vAlign w:val="center"/>
          </w:tcPr>
          <w:p>
            <w:pPr>
              <w:pStyle w:val="TableContents"/>
              <w:bidi w:val="0"/>
              <w:spacing w:lineRule="auto" w:line="357" w:before="33" w:after="20"/>
              <w:ind w:left="0" w:right="0" w:hanging="0"/>
              <w:jc w:val="center"/>
              <w:rPr/>
            </w:pPr>
            <w:r>
              <w:rPr/>
              <w:t>​</w:t>
            </w:r>
          </w:p>
        </w:tc>
        <w:tc>
          <w:tcPr>
            <w:tcW w:w="2491" w:type="dxa"/>
            <w:gridSpan w:val="4"/>
            <w:tcBorders>
              <w:bottom w:val="single" w:sz="2" w:space="0" w:color="000000"/>
            </w:tcBorders>
            <w:tcMar>
              <w:bottom w:w="28" w:type="dxa"/>
            </w:tcMar>
            <w:vAlign w:val="center"/>
          </w:tcPr>
          <w:p>
            <w:pPr>
              <w:pStyle w:val="TableContents"/>
              <w:bidi w:val="0"/>
              <w:spacing w:lineRule="auto" w:line="357" w:before="33" w:after="20"/>
              <w:ind w:left="0" w:right="0" w:hanging="0"/>
              <w:jc w:val="center"/>
              <w:rPr>
                <w:rFonts w:ascii="Times New Roman;Times;serif" w:hAnsi="Times New Roman;Times;serif"/>
                <w:b/>
                <w:sz w:val="20"/>
              </w:rPr>
            </w:pPr>
            <w:r>
              <w:rPr>
                <w:rFonts w:ascii="Times New Roman;Times;serif" w:hAnsi="Times New Roman;Times;serif"/>
                <w:b/>
                <w:sz w:val="20"/>
              </w:rPr>
              <w:t>Incorporated by Reference</w:t>
            </w:r>
          </w:p>
        </w:tc>
        <w:tc>
          <w:tcPr>
            <w:tcW w:w="155" w:type="dxa"/>
            <w:tcBorders/>
            <w:vAlign w:val="center"/>
          </w:tcPr>
          <w:p>
            <w:pPr>
              <w:pStyle w:val="TableContents"/>
              <w:bidi w:val="0"/>
              <w:spacing w:before="0" w:after="0"/>
              <w:ind w:left="0" w:right="0" w:hanging="0"/>
              <w:jc w:val="left"/>
              <w:rPr/>
            </w:pPr>
            <w:r>
              <w:rPr/>
              <w:t>​</w:t>
            </w:r>
          </w:p>
        </w:tc>
      </w:tr>
      <w:tr>
        <w:trPr/>
        <w:tc>
          <w:tcPr>
            <w:tcW w:w="882" w:type="dxa"/>
            <w:tcBorders>
              <w:bottom w:val="single" w:sz="2" w:space="0" w:color="000000"/>
            </w:tcBorders>
            <w:tcMar>
              <w:bottom w:w="28" w:type="dxa"/>
            </w:tcMar>
            <w:vAlign w:val="center"/>
          </w:tcPr>
          <w:p>
            <w:pPr>
              <w:pStyle w:val="TableContents"/>
              <w:bidi w:val="0"/>
              <w:spacing w:lineRule="auto" w:line="357" w:before="33" w:after="20"/>
              <w:ind w:left="0" w:right="0" w:hanging="0"/>
              <w:jc w:val="center"/>
              <w:rPr>
                <w:rFonts w:ascii="Times New Roman;Times;serif" w:hAnsi="Times New Roman;Times;serif"/>
                <w:sz w:val="16"/>
              </w:rPr>
            </w:pPr>
            <w:r>
              <w:rPr>
                <w:rFonts w:ascii="Times New Roman;Times;serif" w:hAnsi="Times New Roman;Times;serif"/>
                <w:sz w:val="16"/>
              </w:rPr>
              <w:t>Exhibit Number</w:t>
            </w:r>
          </w:p>
        </w:tc>
        <w:tc>
          <w:tcPr>
            <w:tcW w:w="6677" w:type="dxa"/>
            <w:tcBorders>
              <w:bottom w:val="single" w:sz="2" w:space="0" w:color="000000"/>
            </w:tcBorders>
            <w:tcMar>
              <w:bottom w:w="28" w:type="dxa"/>
            </w:tcMar>
            <w:vAlign w:val="center"/>
          </w:tcPr>
          <w:p>
            <w:pPr>
              <w:pStyle w:val="TableContents"/>
              <w:bidi w:val="0"/>
              <w:spacing w:lineRule="auto" w:line="357" w:before="33" w:after="20"/>
              <w:ind w:left="0" w:right="0" w:hanging="0"/>
              <w:jc w:val="center"/>
              <w:rPr>
                <w:rFonts w:ascii="Times New Roman;Times;serif" w:hAnsi="Times New Roman;Times;serif"/>
                <w:sz w:val="16"/>
              </w:rPr>
            </w:pPr>
            <w:r>
              <w:rPr>
                <w:rFonts w:ascii="Times New Roman;Times;serif" w:hAnsi="Times New Roman;Times;serif"/>
                <w:sz w:val="16"/>
              </w:rPr>
              <w:t>Exhibit Description</w:t>
            </w:r>
          </w:p>
        </w:tc>
        <w:tc>
          <w:tcPr>
            <w:tcW w:w="481" w:type="dxa"/>
            <w:tcBorders>
              <w:top w:val="single" w:sz="2" w:space="0" w:color="000000"/>
              <w:bottom w:val="single" w:sz="2" w:space="0" w:color="000000"/>
            </w:tcBorders>
            <w:tcMar>
              <w:top w:w="28" w:type="dxa"/>
              <w:bottom w:w="28" w:type="dxa"/>
            </w:tcMar>
            <w:vAlign w:val="center"/>
          </w:tcPr>
          <w:p>
            <w:pPr>
              <w:pStyle w:val="TableContents"/>
              <w:bidi w:val="0"/>
              <w:spacing w:lineRule="auto" w:line="357" w:before="33" w:after="20"/>
              <w:ind w:left="0" w:right="0" w:hanging="0"/>
              <w:jc w:val="center"/>
              <w:rPr>
                <w:rFonts w:ascii="Times New Roman;Times;serif" w:hAnsi="Times New Roman;Times;serif"/>
                <w:sz w:val="16"/>
              </w:rPr>
            </w:pPr>
            <w:r>
              <w:rPr>
                <w:rFonts w:ascii="Times New Roman;Times;serif" w:hAnsi="Times New Roman;Times;serif"/>
                <w:sz w:val="16"/>
              </w:rPr>
              <w:t>Form</w:t>
            </w:r>
          </w:p>
        </w:tc>
        <w:tc>
          <w:tcPr>
            <w:tcW w:w="759" w:type="dxa"/>
            <w:tcBorders>
              <w:top w:val="single" w:sz="2" w:space="0" w:color="000000"/>
              <w:bottom w:val="single" w:sz="2" w:space="0" w:color="000000"/>
            </w:tcBorders>
            <w:tcMar>
              <w:top w:w="28" w:type="dxa"/>
              <w:bottom w:w="28" w:type="dxa"/>
            </w:tcMar>
            <w:vAlign w:val="center"/>
          </w:tcPr>
          <w:p>
            <w:pPr>
              <w:pStyle w:val="TableContents"/>
              <w:bidi w:val="0"/>
              <w:spacing w:lineRule="auto" w:line="357" w:before="33" w:after="20"/>
              <w:ind w:left="0" w:right="0" w:hanging="0"/>
              <w:jc w:val="center"/>
              <w:rPr>
                <w:rFonts w:ascii="Times New Roman;Times;serif" w:hAnsi="Times New Roman;Times;serif"/>
                <w:sz w:val="16"/>
              </w:rPr>
            </w:pPr>
            <w:r>
              <w:rPr>
                <w:rFonts w:ascii="Times New Roman;Times;serif" w:hAnsi="Times New Roman;Times;serif"/>
                <w:sz w:val="16"/>
              </w:rPr>
              <w:t>File No.</w:t>
            </w:r>
          </w:p>
        </w:tc>
        <w:tc>
          <w:tcPr>
            <w:tcW w:w="616" w:type="dxa"/>
            <w:tcBorders>
              <w:top w:val="single" w:sz="2" w:space="0" w:color="000000"/>
              <w:bottom w:val="single" w:sz="2" w:space="0" w:color="000000"/>
            </w:tcBorders>
            <w:tcMar>
              <w:top w:w="28" w:type="dxa"/>
              <w:bottom w:w="28" w:type="dxa"/>
            </w:tcMar>
            <w:vAlign w:val="center"/>
          </w:tcPr>
          <w:p>
            <w:pPr>
              <w:pStyle w:val="TableContents"/>
              <w:bidi w:val="0"/>
              <w:spacing w:lineRule="auto" w:line="357" w:before="33" w:after="20"/>
              <w:ind w:left="0" w:right="0" w:hanging="0"/>
              <w:jc w:val="center"/>
              <w:rPr>
                <w:rFonts w:ascii="Times New Roman;Times;serif" w:hAnsi="Times New Roman;Times;serif"/>
                <w:sz w:val="16"/>
              </w:rPr>
            </w:pPr>
            <w:r>
              <w:rPr>
                <w:rFonts w:ascii="Times New Roman;Times;serif" w:hAnsi="Times New Roman;Times;serif"/>
                <w:sz w:val="16"/>
              </w:rPr>
              <w:t>Exhibit</w:t>
            </w:r>
          </w:p>
        </w:tc>
        <w:tc>
          <w:tcPr>
            <w:tcW w:w="635" w:type="dxa"/>
            <w:tcBorders>
              <w:top w:val="single" w:sz="2" w:space="0" w:color="000000"/>
              <w:bottom w:val="single" w:sz="2" w:space="0" w:color="000000"/>
            </w:tcBorders>
            <w:tcMar>
              <w:top w:w="28" w:type="dxa"/>
              <w:bottom w:w="28" w:type="dxa"/>
            </w:tcMar>
            <w:vAlign w:val="center"/>
          </w:tcPr>
          <w:p>
            <w:pPr>
              <w:pStyle w:val="TableContents"/>
              <w:bidi w:val="0"/>
              <w:spacing w:lineRule="auto" w:line="357" w:before="33" w:after="20"/>
              <w:ind w:left="0" w:right="0" w:hanging="0"/>
              <w:jc w:val="center"/>
              <w:rPr>
                <w:rFonts w:ascii="Times New Roman;Times;serif" w:hAnsi="Times New Roman;Times;serif"/>
                <w:sz w:val="16"/>
              </w:rPr>
            </w:pPr>
            <w:r>
              <w:rPr>
                <w:rFonts w:ascii="Times New Roman;Times;serif" w:hAnsi="Times New Roman;Times;serif"/>
                <w:sz w:val="16"/>
              </w:rPr>
              <w:t>Filing Date</w:t>
            </w:r>
          </w:p>
        </w:tc>
        <w:tc>
          <w:tcPr>
            <w:tcW w:w="1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882" w:type="dxa"/>
            <w:tcBorders>
              <w:top w:val="single" w:sz="2" w:space="0" w:color="000000"/>
            </w:tcBorders>
            <w:tcMar>
              <w:top w:w="28" w:type="dxa"/>
            </w:tcMar>
            <w:vAlign w:val="center"/>
          </w:tcPr>
          <w:p>
            <w:pPr>
              <w:pStyle w:val="TableContents"/>
              <w:bidi w:val="0"/>
              <w:spacing w:lineRule="auto" w:line="357" w:before="33" w:after="20"/>
              <w:ind w:left="0" w:right="0" w:hanging="0"/>
              <w:jc w:val="center"/>
              <w:rPr>
                <w:rFonts w:ascii="Times New Roman;Times;serif" w:hAnsi="Times New Roman;Times;serif"/>
                <w:sz w:val="16"/>
              </w:rPr>
            </w:pPr>
            <w:r>
              <w:rPr>
                <w:rFonts w:ascii="Times New Roman;Times;serif" w:hAnsi="Times New Roman;Times;serif"/>
                <w:sz w:val="16"/>
              </w:rPr>
              <w:t>3.1</w:t>
            </w:r>
          </w:p>
        </w:tc>
        <w:tc>
          <w:tcPr>
            <w:tcW w:w="6677" w:type="dxa"/>
            <w:tcBorders>
              <w:top w:val="single" w:sz="2" w:space="0" w:color="000000"/>
            </w:tcBorders>
            <w:tcMar>
              <w:top w:w="28" w:type="dxa"/>
            </w:tcMar>
            <w:vAlign w:val="center"/>
          </w:tcPr>
          <w:p>
            <w:pPr>
              <w:pStyle w:val="TableContents"/>
              <w:bidi w:val="0"/>
              <w:spacing w:lineRule="auto" w:line="357" w:before="33" w:after="2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Yesway, Inc.</w:t>
              </w:r>
            </w:hyperlink>
          </w:p>
        </w:tc>
        <w:tc>
          <w:tcPr>
            <w:tcW w:w="481" w:type="dxa"/>
            <w:tcBorders>
              <w:top w:val="single" w:sz="2" w:space="0" w:color="000000"/>
            </w:tcBorders>
            <w:tcMar>
              <w:top w:w="28" w:type="dxa"/>
            </w:tcMar>
            <w:vAlign w:val="center"/>
          </w:tcPr>
          <w:p>
            <w:pPr>
              <w:pStyle w:val="TableContents"/>
              <w:bidi w:val="0"/>
              <w:spacing w:lineRule="auto" w:line="357" w:before="33" w:after="20"/>
              <w:ind w:left="0" w:right="0" w:hanging="0"/>
              <w:jc w:val="center"/>
              <w:rPr>
                <w:rFonts w:ascii="Times New Roman;Times;serif" w:hAnsi="Times New Roman;Times;serif"/>
                <w:sz w:val="16"/>
              </w:rPr>
            </w:pPr>
            <w:r>
              <w:rPr>
                <w:rFonts w:ascii="Times New Roman;Times;serif" w:hAnsi="Times New Roman;Times;serif"/>
                <w:sz w:val="16"/>
              </w:rPr>
              <w:t>8-K</w:t>
            </w:r>
          </w:p>
        </w:tc>
        <w:tc>
          <w:tcPr>
            <w:tcW w:w="759" w:type="dxa"/>
            <w:tcBorders>
              <w:top w:val="single" w:sz="2" w:space="0" w:color="000000"/>
            </w:tcBorders>
            <w:tcMar>
              <w:top w:w="28" w:type="dxa"/>
            </w:tcMar>
            <w:vAlign w:val="center"/>
          </w:tcPr>
          <w:p>
            <w:pPr>
              <w:pStyle w:val="TableContents"/>
              <w:bidi w:val="0"/>
              <w:spacing w:lineRule="auto" w:line="357" w:before="33" w:after="20"/>
              <w:ind w:left="0" w:right="0" w:hanging="0"/>
              <w:jc w:val="center"/>
              <w:rPr>
                <w:rFonts w:ascii="Times New Roman;Times;serif" w:hAnsi="Times New Roman;Times;serif"/>
                <w:sz w:val="16"/>
              </w:rPr>
            </w:pPr>
            <w:r>
              <w:rPr>
                <w:rFonts w:ascii="Times New Roman;Times;serif" w:hAnsi="Times New Roman;Times;serif"/>
                <w:sz w:val="16"/>
              </w:rPr>
              <w:t>001-43243</w:t>
            </w:r>
          </w:p>
        </w:tc>
        <w:tc>
          <w:tcPr>
            <w:tcW w:w="616" w:type="dxa"/>
            <w:tcBorders>
              <w:top w:val="single" w:sz="2" w:space="0" w:color="000000"/>
            </w:tcBorders>
            <w:tcMar>
              <w:top w:w="28" w:type="dxa"/>
            </w:tcMar>
            <w:vAlign w:val="center"/>
          </w:tcPr>
          <w:p>
            <w:pPr>
              <w:pStyle w:val="TableContents"/>
              <w:bidi w:val="0"/>
              <w:spacing w:lineRule="auto" w:line="357" w:before="33" w:after="20"/>
              <w:ind w:left="0" w:right="0" w:hanging="0"/>
              <w:jc w:val="center"/>
              <w:rPr>
                <w:rFonts w:ascii="Times New Roman;Times;serif" w:hAnsi="Times New Roman;Times;serif"/>
                <w:sz w:val="16"/>
              </w:rPr>
            </w:pPr>
            <w:r>
              <w:rPr>
                <w:rFonts w:ascii="Times New Roman;Times;serif" w:hAnsi="Times New Roman;Times;serif"/>
                <w:sz w:val="16"/>
              </w:rPr>
              <w:t>3.1</w:t>
            </w:r>
          </w:p>
        </w:tc>
        <w:tc>
          <w:tcPr>
            <w:tcW w:w="635" w:type="dxa"/>
            <w:tcBorders>
              <w:top w:val="single" w:sz="2" w:space="0" w:color="000000"/>
            </w:tcBorders>
            <w:tcMar>
              <w:top w:w="28" w:type="dxa"/>
            </w:tcMar>
            <w:vAlign w:val="center"/>
          </w:tcPr>
          <w:p>
            <w:pPr>
              <w:pStyle w:val="TableContents"/>
              <w:bidi w:val="0"/>
              <w:spacing w:lineRule="auto" w:line="357" w:before="33" w:after="20"/>
              <w:ind w:left="0" w:right="0" w:hanging="0"/>
              <w:jc w:val="center"/>
              <w:rPr>
                <w:rFonts w:ascii="Times New Roman;Times;serif" w:hAnsi="Times New Roman;Times;serif"/>
                <w:sz w:val="16"/>
              </w:rPr>
            </w:pPr>
            <w:r>
              <w:rPr>
                <w:rFonts w:ascii="Times New Roman;Times;serif" w:hAnsi="Times New Roman;Times;serif"/>
                <w:sz w:val="16"/>
              </w:rPr>
              <w:t>4/27/2026</w:t>
            </w:r>
          </w:p>
        </w:tc>
        <w:tc>
          <w:tcPr>
            <w:tcW w:w="15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82"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3.2</w:t>
            </w:r>
          </w:p>
        </w:tc>
        <w:tc>
          <w:tcPr>
            <w:tcW w:w="6677" w:type="dxa"/>
            <w:tcBorders/>
            <w:vAlign w:val="center"/>
          </w:tcPr>
          <w:p>
            <w:pPr>
              <w:pStyle w:val="TableContents"/>
              <w:bidi w:val="0"/>
              <w:spacing w:lineRule="auto" w:line="357" w:before="43" w:after="2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of Yesway, Inc.</w:t>
              </w:r>
            </w:hyperlink>
          </w:p>
        </w:tc>
        <w:tc>
          <w:tcPr>
            <w:tcW w:w="48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8-K</w:t>
            </w:r>
          </w:p>
        </w:tc>
        <w:tc>
          <w:tcPr>
            <w:tcW w:w="75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001-43243</w:t>
            </w:r>
          </w:p>
        </w:tc>
        <w:tc>
          <w:tcPr>
            <w:tcW w:w="616"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3.2</w:t>
            </w:r>
          </w:p>
        </w:tc>
        <w:tc>
          <w:tcPr>
            <w:tcW w:w="63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4/27/2026</w:t>
            </w:r>
          </w:p>
        </w:tc>
        <w:tc>
          <w:tcPr>
            <w:tcW w:w="155" w:type="dxa"/>
            <w:tcBorders/>
            <w:vAlign w:val="center"/>
          </w:tcPr>
          <w:p>
            <w:pPr>
              <w:pStyle w:val="TableContents"/>
              <w:bidi w:val="0"/>
              <w:spacing w:before="0" w:after="0"/>
              <w:ind w:left="0" w:right="0" w:hanging="0"/>
              <w:jc w:val="left"/>
              <w:rPr/>
            </w:pPr>
            <w:r>
              <w:rPr/>
              <w:t>​</w:t>
            </w:r>
          </w:p>
        </w:tc>
      </w:tr>
      <w:tr>
        <w:trPr/>
        <w:tc>
          <w:tcPr>
            <w:tcW w:w="882"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4.1</w:t>
            </w:r>
          </w:p>
        </w:tc>
        <w:tc>
          <w:tcPr>
            <w:tcW w:w="6677" w:type="dxa"/>
            <w:tcBorders/>
            <w:vAlign w:val="center"/>
          </w:tcPr>
          <w:p>
            <w:pPr>
              <w:pStyle w:val="TableContents"/>
              <w:bidi w:val="0"/>
              <w:spacing w:lineRule="auto" w:line="357" w:before="43" w:after="20"/>
              <w:ind w:left="0" w:right="0" w:hanging="0"/>
              <w:jc w:val="left"/>
              <w:rPr/>
            </w:pPr>
            <w:hyperlink r:id="rId4">
              <w:r>
                <w:rPr>
                  <w:rStyle w:val="InternetLink"/>
                  <w:rFonts w:ascii="Times New Roman;Times;serif" w:hAnsi="Times New Roman;Times;serif"/>
                  <w:b w:val="false"/>
                  <w:i w:val="false"/>
                  <w:caps w:val="false"/>
                  <w:smallCaps w:val="false"/>
                  <w:sz w:val="20"/>
                </w:rPr>
                <w:t>Stock Certificate evidencing the shares of Class A common stock</w:t>
              </w:r>
            </w:hyperlink>
          </w:p>
        </w:tc>
        <w:tc>
          <w:tcPr>
            <w:tcW w:w="48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S-1</w:t>
            </w:r>
          </w:p>
        </w:tc>
        <w:tc>
          <w:tcPr>
            <w:tcW w:w="75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333-259699</w:t>
            </w:r>
          </w:p>
        </w:tc>
        <w:tc>
          <w:tcPr>
            <w:tcW w:w="616"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4.1</w:t>
            </w:r>
          </w:p>
        </w:tc>
        <w:tc>
          <w:tcPr>
            <w:tcW w:w="63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9/21/2021</w:t>
            </w:r>
          </w:p>
        </w:tc>
        <w:tc>
          <w:tcPr>
            <w:tcW w:w="155" w:type="dxa"/>
            <w:tcBorders/>
            <w:vAlign w:val="center"/>
          </w:tcPr>
          <w:p>
            <w:pPr>
              <w:pStyle w:val="TableContents"/>
              <w:bidi w:val="0"/>
              <w:spacing w:before="0" w:after="0"/>
              <w:ind w:left="0" w:right="0" w:hanging="0"/>
              <w:jc w:val="left"/>
              <w:rPr/>
            </w:pPr>
            <w:r>
              <w:rPr/>
              <w:t>​</w:t>
            </w:r>
          </w:p>
        </w:tc>
      </w:tr>
      <w:tr>
        <w:trPr/>
        <w:tc>
          <w:tcPr>
            <w:tcW w:w="882"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w:t>
            </w:r>
          </w:p>
        </w:tc>
        <w:tc>
          <w:tcPr>
            <w:tcW w:w="6677" w:type="dxa"/>
            <w:tcBorders/>
            <w:vAlign w:val="center"/>
          </w:tcPr>
          <w:p>
            <w:pPr>
              <w:pStyle w:val="TableContents"/>
              <w:bidi w:val="0"/>
              <w:spacing w:lineRule="auto" w:line="328" w:before="43" w:after="20"/>
              <w:ind w:left="0" w:right="0" w:hanging="0"/>
              <w:jc w:val="left"/>
              <w:rPr/>
            </w:pPr>
            <w:hyperlink r:id="rId5">
              <w:r>
                <w:rPr>
                  <w:rStyle w:val="InternetLink"/>
                  <w:rFonts w:ascii="Times New Roman;Times;serif" w:hAnsi="Times New Roman;Times;serif"/>
                  <w:b w:val="false"/>
                  <w:i w:val="false"/>
                  <w:caps w:val="false"/>
                  <w:smallCaps w:val="false"/>
                  <w:sz w:val="20"/>
                </w:rPr>
                <w:t>Tax Receivable Agreement, dated April 21, 2026, by and among Yesway, Inc., BW Ultimate Parent, LLC, the TRA Parties, the Brookwood Nominee, and each of the other Persons from time to time party thereto.</w:t>
              </w:r>
            </w:hyperlink>
          </w:p>
        </w:tc>
        <w:tc>
          <w:tcPr>
            <w:tcW w:w="48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8-K</w:t>
            </w:r>
          </w:p>
        </w:tc>
        <w:tc>
          <w:tcPr>
            <w:tcW w:w="75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001-43243</w:t>
            </w:r>
          </w:p>
        </w:tc>
        <w:tc>
          <w:tcPr>
            <w:tcW w:w="616"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w:t>
            </w:r>
          </w:p>
        </w:tc>
        <w:tc>
          <w:tcPr>
            <w:tcW w:w="63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4/27/2026</w:t>
            </w:r>
          </w:p>
        </w:tc>
        <w:tc>
          <w:tcPr>
            <w:tcW w:w="155" w:type="dxa"/>
            <w:tcBorders/>
            <w:vAlign w:val="center"/>
          </w:tcPr>
          <w:p>
            <w:pPr>
              <w:pStyle w:val="TableContents"/>
              <w:bidi w:val="0"/>
              <w:spacing w:before="0" w:after="0"/>
              <w:ind w:left="0" w:right="0" w:hanging="0"/>
              <w:jc w:val="left"/>
              <w:rPr/>
            </w:pPr>
            <w:r>
              <w:rPr/>
              <w:t>​</w:t>
            </w:r>
          </w:p>
        </w:tc>
      </w:tr>
      <w:tr>
        <w:trPr/>
        <w:tc>
          <w:tcPr>
            <w:tcW w:w="882"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10.2§</w:t>
            </w:r>
          </w:p>
        </w:tc>
        <w:tc>
          <w:tcPr>
            <w:tcW w:w="6677" w:type="dxa"/>
            <w:tcBorders/>
            <w:vAlign w:val="center"/>
          </w:tcPr>
          <w:p>
            <w:pPr>
              <w:pStyle w:val="TableContents"/>
              <w:bidi w:val="0"/>
              <w:spacing w:lineRule="auto" w:line="328" w:before="43" w:after="20"/>
              <w:ind w:left="0" w:right="0" w:hanging="0"/>
              <w:jc w:val="left"/>
              <w:rPr/>
            </w:pPr>
            <w:hyperlink r:id="rId6">
              <w:r>
                <w:rPr>
                  <w:rStyle w:val="InternetLink"/>
                  <w:rFonts w:ascii="Times New Roman;Times;serif" w:hAnsi="Times New Roman;Times;serif"/>
                  <w:b w:val="false"/>
                  <w:i w:val="false"/>
                  <w:caps w:val="false"/>
                  <w:smallCaps w:val="false"/>
                  <w:sz w:val="20"/>
                </w:rPr>
                <w:t>Fourth Amended and Restated Limited Liability Company Agreement of BW Ultimate Parent, LLC, dated April 21, 2026, by and among BW Ultimate Parent, LLC, Yesway, Inc. and the other Members.</w:t>
              </w:r>
            </w:hyperlink>
          </w:p>
        </w:tc>
        <w:tc>
          <w:tcPr>
            <w:tcW w:w="48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8-K</w:t>
            </w:r>
          </w:p>
        </w:tc>
        <w:tc>
          <w:tcPr>
            <w:tcW w:w="75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001-43243</w:t>
            </w:r>
          </w:p>
        </w:tc>
        <w:tc>
          <w:tcPr>
            <w:tcW w:w="616"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10.2</w:t>
            </w:r>
          </w:p>
        </w:tc>
        <w:tc>
          <w:tcPr>
            <w:tcW w:w="63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4/27/2026</w:t>
            </w:r>
          </w:p>
        </w:tc>
        <w:tc>
          <w:tcPr>
            <w:tcW w:w="155" w:type="dxa"/>
            <w:tcBorders/>
            <w:vAlign w:val="center"/>
          </w:tcPr>
          <w:p>
            <w:pPr>
              <w:pStyle w:val="TableContents"/>
              <w:bidi w:val="0"/>
              <w:spacing w:before="0" w:after="0"/>
              <w:ind w:left="0" w:right="0" w:hanging="0"/>
              <w:jc w:val="left"/>
              <w:rPr/>
            </w:pPr>
            <w:r>
              <w:rPr/>
              <w:t>​</w:t>
            </w:r>
          </w:p>
        </w:tc>
      </w:tr>
      <w:tr>
        <w:trPr/>
        <w:tc>
          <w:tcPr>
            <w:tcW w:w="882"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10.3§</w:t>
            </w:r>
          </w:p>
        </w:tc>
        <w:tc>
          <w:tcPr>
            <w:tcW w:w="6677" w:type="dxa"/>
            <w:tcBorders/>
            <w:vAlign w:val="center"/>
          </w:tcPr>
          <w:p>
            <w:pPr>
              <w:pStyle w:val="TableContents"/>
              <w:bidi w:val="0"/>
              <w:spacing w:lineRule="auto" w:line="328" w:before="43" w:after="20"/>
              <w:ind w:left="0" w:right="0" w:hanging="0"/>
              <w:jc w:val="left"/>
              <w:rPr/>
            </w:pPr>
            <w:hyperlink r:id="rId7">
              <w:r>
                <w:rPr>
                  <w:rStyle w:val="InternetLink"/>
                  <w:rFonts w:ascii="Times New Roman;Times;serif" w:hAnsi="Times New Roman;Times;serif"/>
                  <w:b w:val="false"/>
                  <w:i w:val="false"/>
                  <w:caps w:val="false"/>
                  <w:smallCaps w:val="false"/>
                  <w:sz w:val="20"/>
                </w:rPr>
                <w:t>Stockholders Agreement, dated April 21, 2026, by and among Yesway, Inc. and the Brookwood Parties.</w:t>
              </w:r>
            </w:hyperlink>
          </w:p>
        </w:tc>
        <w:tc>
          <w:tcPr>
            <w:tcW w:w="48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8-K</w:t>
            </w:r>
          </w:p>
        </w:tc>
        <w:tc>
          <w:tcPr>
            <w:tcW w:w="75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001-43243</w:t>
            </w:r>
          </w:p>
        </w:tc>
        <w:tc>
          <w:tcPr>
            <w:tcW w:w="616"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10.3</w:t>
            </w:r>
          </w:p>
        </w:tc>
        <w:tc>
          <w:tcPr>
            <w:tcW w:w="63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4/27/2026</w:t>
            </w:r>
          </w:p>
        </w:tc>
        <w:tc>
          <w:tcPr>
            <w:tcW w:w="155" w:type="dxa"/>
            <w:tcBorders/>
            <w:vAlign w:val="center"/>
          </w:tcPr>
          <w:p>
            <w:pPr>
              <w:pStyle w:val="TableContents"/>
              <w:bidi w:val="0"/>
              <w:spacing w:before="0" w:after="0"/>
              <w:ind w:left="0" w:right="0" w:hanging="0"/>
              <w:jc w:val="left"/>
              <w:rPr/>
            </w:pPr>
            <w:r>
              <w:rPr/>
              <w:t>​</w:t>
            </w:r>
          </w:p>
        </w:tc>
      </w:tr>
      <w:tr>
        <w:trPr/>
        <w:tc>
          <w:tcPr>
            <w:tcW w:w="882"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10.4</w:t>
            </w:r>
          </w:p>
        </w:tc>
        <w:tc>
          <w:tcPr>
            <w:tcW w:w="6677" w:type="dxa"/>
            <w:tcBorders/>
            <w:vAlign w:val="center"/>
          </w:tcPr>
          <w:p>
            <w:pPr>
              <w:pStyle w:val="TableContents"/>
              <w:bidi w:val="0"/>
              <w:spacing w:lineRule="auto" w:line="328" w:before="43" w:after="20"/>
              <w:ind w:left="0" w:right="0" w:hanging="0"/>
              <w:jc w:val="left"/>
              <w:rPr/>
            </w:pPr>
            <w:hyperlink r:id="rId8">
              <w:r>
                <w:rPr>
                  <w:rStyle w:val="InternetLink"/>
                  <w:rFonts w:ascii="Times New Roman;Times;serif" w:hAnsi="Times New Roman;Times;serif"/>
                  <w:b w:val="false"/>
                  <w:i w:val="false"/>
                  <w:caps w:val="false"/>
                  <w:smallCaps w:val="false"/>
                  <w:sz w:val="20"/>
                </w:rPr>
                <w:t>Registration Rights Agreement, dated April 21, 2026, by and among Yesway, Inc. and each other Person identified on the Schedule of Holders attached thereto.</w:t>
              </w:r>
            </w:hyperlink>
          </w:p>
        </w:tc>
        <w:tc>
          <w:tcPr>
            <w:tcW w:w="48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8-K</w:t>
            </w:r>
          </w:p>
        </w:tc>
        <w:tc>
          <w:tcPr>
            <w:tcW w:w="75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001-43243</w:t>
            </w:r>
          </w:p>
        </w:tc>
        <w:tc>
          <w:tcPr>
            <w:tcW w:w="616"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10.4</w:t>
            </w:r>
          </w:p>
        </w:tc>
        <w:tc>
          <w:tcPr>
            <w:tcW w:w="63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4/27/2026</w:t>
            </w:r>
          </w:p>
        </w:tc>
        <w:tc>
          <w:tcPr>
            <w:tcW w:w="15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49"/>
        <w:gridCol w:w="6882"/>
        <w:gridCol w:w="407"/>
        <w:gridCol w:w="815"/>
        <w:gridCol w:w="511"/>
        <w:gridCol w:w="651"/>
        <w:gridCol w:w="290"/>
      </w:tblGrid>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10.5</w:t>
            </w:r>
          </w:p>
        </w:tc>
        <w:tc>
          <w:tcPr>
            <w:tcW w:w="6882" w:type="dxa"/>
            <w:tcBorders/>
            <w:vAlign w:val="center"/>
          </w:tcPr>
          <w:p>
            <w:pPr>
              <w:pStyle w:val="TableContents"/>
              <w:bidi w:val="0"/>
              <w:spacing w:lineRule="auto" w:line="328" w:before="43" w:after="20"/>
              <w:ind w:left="0" w:right="0" w:hanging="0"/>
              <w:jc w:val="left"/>
              <w:rPr/>
            </w:pPr>
            <w:hyperlink r:id="rId9">
              <w:r>
                <w:rPr>
                  <w:rStyle w:val="InternetLink"/>
                  <w:rFonts w:ascii="Times New Roman;Times;serif" w:hAnsi="Times New Roman;Times;serif"/>
                  <w:b w:val="false"/>
                  <w:i w:val="false"/>
                  <w:caps w:val="false"/>
                  <w:smallCaps w:val="false"/>
                  <w:sz w:val="20"/>
                </w:rPr>
                <w:t>Yesway, Inc. 2026 Incentive Award Plan.</w:t>
              </w:r>
            </w:hyperlink>
          </w:p>
        </w:tc>
        <w:tc>
          <w:tcPr>
            <w:tcW w:w="407"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S-8</w:t>
            </w:r>
          </w:p>
        </w:tc>
        <w:tc>
          <w:tcPr>
            <w:tcW w:w="81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333-295303</w:t>
            </w:r>
          </w:p>
        </w:tc>
        <w:tc>
          <w:tcPr>
            <w:tcW w:w="51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99.1</w:t>
            </w:r>
          </w:p>
        </w:tc>
        <w:tc>
          <w:tcPr>
            <w:tcW w:w="65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4/24/2026</w:t>
            </w:r>
          </w:p>
        </w:tc>
        <w:tc>
          <w:tcPr>
            <w:tcW w:w="290" w:type="dxa"/>
            <w:tcBorders/>
            <w:vAlign w:val="center"/>
          </w:tcPr>
          <w:p>
            <w:pPr>
              <w:pStyle w:val="TableContents"/>
              <w:bidi w:val="0"/>
              <w:spacing w:before="0" w:after="0"/>
              <w:ind w:left="0" w:right="0" w:hanging="0"/>
              <w:jc w:val="left"/>
              <w:rPr/>
            </w:pPr>
            <w:r>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10.6</w:t>
            </w:r>
          </w:p>
        </w:tc>
        <w:tc>
          <w:tcPr>
            <w:tcW w:w="6882" w:type="dxa"/>
            <w:tcBorders/>
            <w:vAlign w:val="center"/>
          </w:tcPr>
          <w:p>
            <w:pPr>
              <w:pStyle w:val="TableContents"/>
              <w:bidi w:val="0"/>
              <w:spacing w:lineRule="auto" w:line="328" w:before="43" w:after="20"/>
              <w:ind w:left="0" w:right="0" w:hanging="0"/>
              <w:jc w:val="left"/>
              <w:rPr/>
            </w:pPr>
            <w:hyperlink r:id="rId10">
              <w:r>
                <w:rPr>
                  <w:rStyle w:val="InternetLink"/>
                  <w:rFonts w:ascii="Times New Roman;Times;serif" w:hAnsi="Times New Roman;Times;serif"/>
                  <w:b w:val="false"/>
                  <w:i w:val="false"/>
                  <w:caps w:val="false"/>
                  <w:smallCaps w:val="false"/>
                  <w:sz w:val="20"/>
                </w:rPr>
                <w:t>Yesway, Inc. 2026 Employee Stock Purchase Plan.</w:t>
              </w:r>
            </w:hyperlink>
          </w:p>
        </w:tc>
        <w:tc>
          <w:tcPr>
            <w:tcW w:w="407"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S-8</w:t>
            </w:r>
          </w:p>
        </w:tc>
        <w:tc>
          <w:tcPr>
            <w:tcW w:w="81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333-295303</w:t>
            </w:r>
          </w:p>
        </w:tc>
        <w:tc>
          <w:tcPr>
            <w:tcW w:w="51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99.2</w:t>
            </w:r>
          </w:p>
        </w:tc>
        <w:tc>
          <w:tcPr>
            <w:tcW w:w="65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4/24/2026</w:t>
            </w:r>
          </w:p>
        </w:tc>
        <w:tc>
          <w:tcPr>
            <w:tcW w:w="290" w:type="dxa"/>
            <w:tcBorders/>
            <w:vAlign w:val="center"/>
          </w:tcPr>
          <w:p>
            <w:pPr>
              <w:pStyle w:val="TableContents"/>
              <w:bidi w:val="0"/>
              <w:spacing w:before="0" w:after="0"/>
              <w:ind w:left="0" w:right="0" w:hanging="0"/>
              <w:jc w:val="left"/>
              <w:rPr/>
            </w:pPr>
            <w:r>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10.7</w:t>
            </w:r>
          </w:p>
        </w:tc>
        <w:tc>
          <w:tcPr>
            <w:tcW w:w="6882" w:type="dxa"/>
            <w:tcBorders/>
            <w:vAlign w:val="center"/>
          </w:tcPr>
          <w:p>
            <w:pPr>
              <w:pStyle w:val="TableContents"/>
              <w:bidi w:val="0"/>
              <w:spacing w:lineRule="auto" w:line="328" w:before="43" w:after="20"/>
              <w:ind w:left="0" w:right="0" w:hanging="0"/>
              <w:jc w:val="left"/>
              <w:rPr/>
            </w:pPr>
            <w:hyperlink r:id="rId11">
              <w:r>
                <w:rPr>
                  <w:rStyle w:val="InternetLink"/>
                  <w:rFonts w:ascii="Times New Roman;Times;serif" w:hAnsi="Times New Roman;Times;serif"/>
                  <w:b w:val="false"/>
                  <w:i w:val="false"/>
                  <w:caps w:val="false"/>
                  <w:smallCaps w:val="false"/>
                  <w:sz w:val="20"/>
                </w:rPr>
                <w:t>Form of Option Agreement under 2026 Incentive Award Plan.</w:t>
              </w:r>
            </w:hyperlink>
          </w:p>
        </w:tc>
        <w:tc>
          <w:tcPr>
            <w:tcW w:w="407"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S-1</w:t>
            </w:r>
          </w:p>
        </w:tc>
        <w:tc>
          <w:tcPr>
            <w:tcW w:w="81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333-294679</w:t>
            </w:r>
          </w:p>
        </w:tc>
        <w:tc>
          <w:tcPr>
            <w:tcW w:w="51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10.14</w:t>
            </w:r>
          </w:p>
        </w:tc>
        <w:tc>
          <w:tcPr>
            <w:tcW w:w="65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3/27/2026</w:t>
            </w:r>
          </w:p>
        </w:tc>
        <w:tc>
          <w:tcPr>
            <w:tcW w:w="290" w:type="dxa"/>
            <w:tcBorders/>
            <w:vAlign w:val="center"/>
          </w:tcPr>
          <w:p>
            <w:pPr>
              <w:pStyle w:val="TableContents"/>
              <w:bidi w:val="0"/>
              <w:spacing w:before="0" w:after="0"/>
              <w:ind w:left="0" w:right="0" w:hanging="0"/>
              <w:jc w:val="left"/>
              <w:rPr/>
            </w:pPr>
            <w:r>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10.8</w:t>
            </w:r>
          </w:p>
        </w:tc>
        <w:tc>
          <w:tcPr>
            <w:tcW w:w="6882" w:type="dxa"/>
            <w:tcBorders/>
            <w:vAlign w:val="center"/>
          </w:tcPr>
          <w:p>
            <w:pPr>
              <w:pStyle w:val="TableContents"/>
              <w:bidi w:val="0"/>
              <w:spacing w:lineRule="auto" w:line="328" w:before="43" w:after="20"/>
              <w:ind w:left="0" w:right="0" w:hanging="0"/>
              <w:jc w:val="left"/>
              <w:rPr/>
            </w:pPr>
            <w:hyperlink r:id="rId12">
              <w:r>
                <w:rPr>
                  <w:rStyle w:val="InternetLink"/>
                  <w:rFonts w:ascii="Times New Roman;Times;serif" w:hAnsi="Times New Roman;Times;serif"/>
                  <w:b w:val="false"/>
                  <w:i w:val="false"/>
                  <w:caps w:val="false"/>
                  <w:smallCaps w:val="false"/>
                  <w:sz w:val="20"/>
                </w:rPr>
                <w:t>Form of Restricted Stock Unit Agreement under the 2026 Incentive Award Plan.</w:t>
              </w:r>
            </w:hyperlink>
          </w:p>
        </w:tc>
        <w:tc>
          <w:tcPr>
            <w:tcW w:w="407"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S-1</w:t>
            </w:r>
          </w:p>
        </w:tc>
        <w:tc>
          <w:tcPr>
            <w:tcW w:w="81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333-294679</w:t>
            </w:r>
          </w:p>
        </w:tc>
        <w:tc>
          <w:tcPr>
            <w:tcW w:w="51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10.15</w:t>
            </w:r>
          </w:p>
        </w:tc>
        <w:tc>
          <w:tcPr>
            <w:tcW w:w="65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3/27/2026</w:t>
            </w:r>
          </w:p>
        </w:tc>
        <w:tc>
          <w:tcPr>
            <w:tcW w:w="290" w:type="dxa"/>
            <w:tcBorders/>
            <w:vAlign w:val="center"/>
          </w:tcPr>
          <w:p>
            <w:pPr>
              <w:pStyle w:val="TableContents"/>
              <w:bidi w:val="0"/>
              <w:spacing w:before="0" w:after="0"/>
              <w:ind w:left="0" w:right="0" w:hanging="0"/>
              <w:jc w:val="left"/>
              <w:rPr/>
            </w:pPr>
            <w:r>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10.9</w:t>
            </w:r>
          </w:p>
        </w:tc>
        <w:tc>
          <w:tcPr>
            <w:tcW w:w="6882" w:type="dxa"/>
            <w:tcBorders/>
            <w:vAlign w:val="center"/>
          </w:tcPr>
          <w:p>
            <w:pPr>
              <w:pStyle w:val="TableContents"/>
              <w:bidi w:val="0"/>
              <w:spacing w:lineRule="auto" w:line="328" w:before="43" w:after="20"/>
              <w:ind w:left="0" w:right="0" w:hanging="0"/>
              <w:jc w:val="left"/>
              <w:rPr/>
            </w:pPr>
            <w:hyperlink r:id="rId13">
              <w:r>
                <w:rPr>
                  <w:rStyle w:val="InternetLink"/>
                  <w:rFonts w:ascii="Times New Roman;Times;serif" w:hAnsi="Times New Roman;Times;serif"/>
                  <w:b w:val="false"/>
                  <w:i w:val="false"/>
                  <w:caps w:val="false"/>
                  <w:smallCaps w:val="false"/>
                  <w:sz w:val="20"/>
                </w:rPr>
                <w:t>Form of Performance Stock Unit Award Agreement under 2026 Incentive Award Plan.</w:t>
              </w:r>
            </w:hyperlink>
          </w:p>
        </w:tc>
        <w:tc>
          <w:tcPr>
            <w:tcW w:w="407"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S-1</w:t>
            </w:r>
          </w:p>
        </w:tc>
        <w:tc>
          <w:tcPr>
            <w:tcW w:w="81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333-294679</w:t>
            </w:r>
          </w:p>
        </w:tc>
        <w:tc>
          <w:tcPr>
            <w:tcW w:w="51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10.16</w:t>
            </w:r>
          </w:p>
        </w:tc>
        <w:tc>
          <w:tcPr>
            <w:tcW w:w="65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3/27/2026</w:t>
            </w:r>
          </w:p>
        </w:tc>
        <w:tc>
          <w:tcPr>
            <w:tcW w:w="290" w:type="dxa"/>
            <w:tcBorders/>
            <w:vAlign w:val="center"/>
          </w:tcPr>
          <w:p>
            <w:pPr>
              <w:pStyle w:val="TableContents"/>
              <w:bidi w:val="0"/>
              <w:spacing w:before="0" w:after="0"/>
              <w:ind w:left="0" w:right="0" w:hanging="0"/>
              <w:jc w:val="left"/>
              <w:rPr/>
            </w:pPr>
            <w:r>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10.10</w:t>
            </w:r>
          </w:p>
        </w:tc>
        <w:tc>
          <w:tcPr>
            <w:tcW w:w="6882" w:type="dxa"/>
            <w:tcBorders/>
            <w:vAlign w:val="center"/>
          </w:tcPr>
          <w:p>
            <w:pPr>
              <w:pStyle w:val="TableContents"/>
              <w:bidi w:val="0"/>
              <w:spacing w:lineRule="auto" w:line="328" w:before="43" w:after="20"/>
              <w:ind w:left="0" w:right="0" w:hanging="0"/>
              <w:jc w:val="left"/>
              <w:rPr/>
            </w:pPr>
            <w:hyperlink r:id="rId14">
              <w:r>
                <w:rPr>
                  <w:rStyle w:val="InternetLink"/>
                  <w:rFonts w:ascii="Times New Roman;Times;serif" w:hAnsi="Times New Roman;Times;serif"/>
                  <w:b w:val="false"/>
                  <w:i w:val="false"/>
                  <w:caps w:val="false"/>
                  <w:smallCaps w:val="false"/>
                  <w:sz w:val="20"/>
                </w:rPr>
                <w:t>Non-Employee Director Compensation Policy</w:t>
              </w:r>
            </w:hyperlink>
          </w:p>
        </w:tc>
        <w:tc>
          <w:tcPr>
            <w:tcW w:w="407"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10-Q</w:t>
            </w:r>
          </w:p>
        </w:tc>
        <w:tc>
          <w:tcPr>
            <w:tcW w:w="81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001-43243</w:t>
            </w:r>
          </w:p>
        </w:tc>
        <w:tc>
          <w:tcPr>
            <w:tcW w:w="51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10.10</w:t>
            </w:r>
          </w:p>
        </w:tc>
        <w:tc>
          <w:tcPr>
            <w:tcW w:w="65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6/2/2026</w:t>
            </w:r>
          </w:p>
        </w:tc>
        <w:tc>
          <w:tcPr>
            <w:tcW w:w="290" w:type="dxa"/>
            <w:tcBorders/>
            <w:vAlign w:val="center"/>
          </w:tcPr>
          <w:p>
            <w:pPr>
              <w:pStyle w:val="TableContents"/>
              <w:bidi w:val="0"/>
              <w:spacing w:before="0" w:after="283"/>
              <w:ind w:left="0" w:right="0" w:hanging="0"/>
              <w:jc w:val="left"/>
              <w:rPr>
                <w:sz w:val="4"/>
                <w:szCs w:val="4"/>
              </w:rPr>
            </w:pPr>
            <w:r>
              <w:rPr>
                <w:sz w:val="4"/>
                <w:szCs w:val="4"/>
              </w:rPr>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10.11</w:t>
            </w:r>
          </w:p>
        </w:tc>
        <w:tc>
          <w:tcPr>
            <w:tcW w:w="6882" w:type="dxa"/>
            <w:tcBorders/>
            <w:vAlign w:val="center"/>
          </w:tcPr>
          <w:p>
            <w:pPr>
              <w:pStyle w:val="TableContents"/>
              <w:bidi w:val="0"/>
              <w:spacing w:lineRule="auto" w:line="328" w:before="43" w:after="20"/>
              <w:ind w:left="0" w:right="0" w:hanging="0"/>
              <w:jc w:val="left"/>
              <w:rPr/>
            </w:pPr>
            <w:hyperlink r:id="rId15">
              <w:r>
                <w:rPr>
                  <w:rStyle w:val="InternetLink"/>
                  <w:rFonts w:ascii="Times New Roman;Times;serif" w:hAnsi="Times New Roman;Times;serif"/>
                  <w:b w:val="false"/>
                  <w:i w:val="false"/>
                  <w:caps w:val="false"/>
                  <w:smallCaps w:val="false"/>
                  <w:sz w:val="20"/>
                </w:rPr>
                <w:t>Amended and Restated Offer Letter by and between Yesway, Inc. and Thomas N. Trkla.</w:t>
              </w:r>
            </w:hyperlink>
          </w:p>
        </w:tc>
        <w:tc>
          <w:tcPr>
            <w:tcW w:w="407"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10-Q</w:t>
            </w:r>
          </w:p>
        </w:tc>
        <w:tc>
          <w:tcPr>
            <w:tcW w:w="81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001-43243</w:t>
            </w:r>
          </w:p>
        </w:tc>
        <w:tc>
          <w:tcPr>
            <w:tcW w:w="51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10.11</w:t>
            </w:r>
          </w:p>
        </w:tc>
        <w:tc>
          <w:tcPr>
            <w:tcW w:w="65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6/2/2026</w:t>
            </w:r>
          </w:p>
        </w:tc>
        <w:tc>
          <w:tcPr>
            <w:tcW w:w="290" w:type="dxa"/>
            <w:tcBorders/>
            <w:vAlign w:val="center"/>
          </w:tcPr>
          <w:p>
            <w:pPr>
              <w:pStyle w:val="TableContents"/>
              <w:bidi w:val="0"/>
              <w:spacing w:before="0" w:after="283"/>
              <w:ind w:left="0" w:right="0" w:hanging="0"/>
              <w:jc w:val="left"/>
              <w:rPr>
                <w:sz w:val="4"/>
                <w:szCs w:val="4"/>
              </w:rPr>
            </w:pPr>
            <w:r>
              <w:rPr>
                <w:sz w:val="4"/>
                <w:szCs w:val="4"/>
              </w:rPr>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10.12</w:t>
            </w:r>
          </w:p>
        </w:tc>
        <w:tc>
          <w:tcPr>
            <w:tcW w:w="6882" w:type="dxa"/>
            <w:tcBorders/>
            <w:vAlign w:val="center"/>
          </w:tcPr>
          <w:p>
            <w:pPr>
              <w:pStyle w:val="TableContents"/>
              <w:bidi w:val="0"/>
              <w:spacing w:lineRule="auto" w:line="328" w:before="43" w:after="20"/>
              <w:ind w:left="0" w:right="0" w:hanging="0"/>
              <w:jc w:val="left"/>
              <w:rPr/>
            </w:pPr>
            <w:hyperlink r:id="rId16">
              <w:r>
                <w:rPr>
                  <w:rStyle w:val="InternetLink"/>
                  <w:rFonts w:ascii="Times New Roman;Times;serif" w:hAnsi="Times New Roman;Times;serif"/>
                  <w:b w:val="false"/>
                  <w:i w:val="false"/>
                  <w:caps w:val="false"/>
                  <w:smallCaps w:val="false"/>
                  <w:sz w:val="16"/>
                </w:rPr>
                <w:t>Amended and Restated Offer Letter by and between Yesway, Inc. and Ericka L. Ayles</w:t>
              </w:r>
            </w:hyperlink>
            <w:r>
              <w:rPr>
                <w:rFonts w:ascii="Times New Roman;Times;serif" w:hAnsi="Times New Roman;Times;serif"/>
                <w:sz w:val="16"/>
              </w:rPr>
              <w:t>.</w:t>
            </w:r>
          </w:p>
        </w:tc>
        <w:tc>
          <w:tcPr>
            <w:tcW w:w="407"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10-Q</w:t>
            </w:r>
          </w:p>
        </w:tc>
        <w:tc>
          <w:tcPr>
            <w:tcW w:w="81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001-43243</w:t>
            </w:r>
          </w:p>
        </w:tc>
        <w:tc>
          <w:tcPr>
            <w:tcW w:w="51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10.12</w:t>
            </w:r>
          </w:p>
        </w:tc>
        <w:tc>
          <w:tcPr>
            <w:tcW w:w="65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6/2/2026</w:t>
            </w:r>
          </w:p>
        </w:tc>
        <w:tc>
          <w:tcPr>
            <w:tcW w:w="290" w:type="dxa"/>
            <w:tcBorders/>
            <w:vAlign w:val="center"/>
          </w:tcPr>
          <w:p>
            <w:pPr>
              <w:pStyle w:val="TableContents"/>
              <w:bidi w:val="0"/>
              <w:spacing w:before="0" w:after="283"/>
              <w:ind w:left="0" w:right="0" w:hanging="0"/>
              <w:jc w:val="left"/>
              <w:rPr>
                <w:sz w:val="4"/>
                <w:szCs w:val="4"/>
              </w:rPr>
            </w:pPr>
            <w:r>
              <w:rPr>
                <w:sz w:val="4"/>
                <w:szCs w:val="4"/>
              </w:rPr>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10.13</w:t>
            </w:r>
          </w:p>
        </w:tc>
        <w:tc>
          <w:tcPr>
            <w:tcW w:w="6882" w:type="dxa"/>
            <w:tcBorders/>
            <w:vAlign w:val="center"/>
          </w:tcPr>
          <w:p>
            <w:pPr>
              <w:pStyle w:val="TableContents"/>
              <w:bidi w:val="0"/>
              <w:spacing w:lineRule="auto" w:line="328" w:before="43" w:after="20"/>
              <w:ind w:left="0" w:right="0" w:hanging="0"/>
              <w:jc w:val="left"/>
              <w:rPr/>
            </w:pPr>
            <w:hyperlink r:id="rId17">
              <w:r>
                <w:rPr>
                  <w:rStyle w:val="InternetLink"/>
                  <w:rFonts w:ascii="Times New Roman;Times;serif" w:hAnsi="Times New Roman;Times;serif"/>
                  <w:b w:val="false"/>
                  <w:i w:val="false"/>
                  <w:caps w:val="false"/>
                  <w:smallCaps w:val="false"/>
                  <w:sz w:val="20"/>
                </w:rPr>
                <w:t>Amended and Restated Offer Letter by and between Yesway, Inc. and Kurt M. Zernich.</w:t>
              </w:r>
            </w:hyperlink>
          </w:p>
        </w:tc>
        <w:tc>
          <w:tcPr>
            <w:tcW w:w="407"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10-Q</w:t>
            </w:r>
          </w:p>
        </w:tc>
        <w:tc>
          <w:tcPr>
            <w:tcW w:w="81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001-43243</w:t>
            </w:r>
          </w:p>
        </w:tc>
        <w:tc>
          <w:tcPr>
            <w:tcW w:w="51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10.13</w:t>
            </w:r>
          </w:p>
        </w:tc>
        <w:tc>
          <w:tcPr>
            <w:tcW w:w="65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6/2/2026</w:t>
            </w:r>
          </w:p>
        </w:tc>
        <w:tc>
          <w:tcPr>
            <w:tcW w:w="290" w:type="dxa"/>
            <w:tcBorders/>
            <w:vAlign w:val="center"/>
          </w:tcPr>
          <w:p>
            <w:pPr>
              <w:pStyle w:val="TableContents"/>
              <w:bidi w:val="0"/>
              <w:spacing w:before="0" w:after="283"/>
              <w:ind w:left="0" w:right="0" w:hanging="0"/>
              <w:jc w:val="left"/>
              <w:rPr>
                <w:sz w:val="4"/>
                <w:szCs w:val="4"/>
              </w:rPr>
            </w:pPr>
            <w:r>
              <w:rPr>
                <w:sz w:val="4"/>
                <w:szCs w:val="4"/>
              </w:rPr>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10.14</w:t>
            </w:r>
          </w:p>
        </w:tc>
        <w:tc>
          <w:tcPr>
            <w:tcW w:w="6882" w:type="dxa"/>
            <w:tcBorders/>
            <w:vAlign w:val="center"/>
          </w:tcPr>
          <w:p>
            <w:pPr>
              <w:pStyle w:val="TableContents"/>
              <w:bidi w:val="0"/>
              <w:spacing w:lineRule="auto" w:line="328" w:before="43" w:after="20"/>
              <w:ind w:left="0" w:right="0" w:hanging="0"/>
              <w:jc w:val="left"/>
              <w:rPr/>
            </w:pPr>
            <w:hyperlink r:id="rId18">
              <w:r>
                <w:rPr>
                  <w:rStyle w:val="InternetLink"/>
                  <w:rFonts w:ascii="Times New Roman;Times;serif" w:hAnsi="Times New Roman;Times;serif"/>
                  <w:b w:val="false"/>
                  <w:i w:val="false"/>
                  <w:caps w:val="false"/>
                  <w:smallCaps w:val="false"/>
                  <w:sz w:val="16"/>
                </w:rPr>
                <w:t>Amended and Restated Executive Severance Plan</w:t>
              </w:r>
            </w:hyperlink>
            <w:r>
              <w:rPr>
                <w:rFonts w:ascii="Times New Roman;Times;serif" w:hAnsi="Times New Roman;Times;serif"/>
                <w:sz w:val="16"/>
              </w:rPr>
              <w:t>s.</w:t>
            </w:r>
          </w:p>
        </w:tc>
        <w:tc>
          <w:tcPr>
            <w:tcW w:w="407"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10-Q</w:t>
            </w:r>
          </w:p>
        </w:tc>
        <w:tc>
          <w:tcPr>
            <w:tcW w:w="815"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001-43243</w:t>
            </w:r>
          </w:p>
        </w:tc>
        <w:tc>
          <w:tcPr>
            <w:tcW w:w="51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10.14</w:t>
            </w:r>
          </w:p>
        </w:tc>
        <w:tc>
          <w:tcPr>
            <w:tcW w:w="651"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6/2/2026</w:t>
            </w:r>
          </w:p>
        </w:tc>
        <w:tc>
          <w:tcPr>
            <w:tcW w:w="290" w:type="dxa"/>
            <w:tcBorders/>
            <w:vAlign w:val="center"/>
          </w:tcPr>
          <w:p>
            <w:pPr>
              <w:pStyle w:val="TableContents"/>
              <w:bidi w:val="0"/>
              <w:spacing w:before="0" w:after="283"/>
              <w:ind w:left="0" w:right="0" w:hanging="0"/>
              <w:jc w:val="left"/>
              <w:rPr>
                <w:sz w:val="4"/>
                <w:szCs w:val="4"/>
              </w:rPr>
            </w:pPr>
            <w:r>
              <w:rPr>
                <w:sz w:val="4"/>
                <w:szCs w:val="4"/>
              </w:rPr>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31.1</w:t>
            </w:r>
          </w:p>
        </w:tc>
        <w:tc>
          <w:tcPr>
            <w:tcW w:w="6882" w:type="dxa"/>
            <w:tcBorders/>
            <w:vAlign w:val="center"/>
          </w:tcPr>
          <w:p>
            <w:pPr>
              <w:pStyle w:val="TableContents"/>
              <w:bidi w:val="0"/>
              <w:spacing w:lineRule="auto" w:line="357" w:before="43" w:after="20"/>
              <w:ind w:left="0" w:right="0" w:hanging="0"/>
              <w:jc w:val="left"/>
              <w:rPr/>
            </w:pPr>
            <w:hyperlink w:anchor="tmb-20260630xex31d1.htm">
              <w:r>
                <w:rPr>
                  <w:rStyle w:val="InternetLink"/>
                  <w:rFonts w:ascii="Times New Roman;Times;serif" w:hAnsi="Times New Roman;Times;serif"/>
                  <w:b w:val="false"/>
                  <w:i w:val="false"/>
                  <w:caps w:val="false"/>
                  <w:smallCaps w:val="false"/>
                  <w:sz w:val="20"/>
                </w:rPr>
                <w:t>Certification of Chief Executive Officer pursuant to Rule 13a-14(a)/15d-14(a).</w:t>
              </w:r>
            </w:hyperlink>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31.2</w:t>
            </w:r>
          </w:p>
        </w:tc>
        <w:tc>
          <w:tcPr>
            <w:tcW w:w="6882" w:type="dxa"/>
            <w:tcBorders/>
            <w:vAlign w:val="center"/>
          </w:tcPr>
          <w:p>
            <w:pPr>
              <w:pStyle w:val="TableContents"/>
              <w:bidi w:val="0"/>
              <w:spacing w:lineRule="auto" w:line="357" w:before="43" w:after="20"/>
              <w:ind w:left="0" w:right="0" w:hanging="0"/>
              <w:jc w:val="left"/>
              <w:rPr/>
            </w:pPr>
            <w:hyperlink w:anchor="tmb-20260630xex31d2.htm">
              <w:r>
                <w:rPr>
                  <w:rStyle w:val="InternetLink"/>
                  <w:rFonts w:ascii="Times New Roman;Times;serif" w:hAnsi="Times New Roman;Times;serif"/>
                  <w:b w:val="false"/>
                  <w:i w:val="false"/>
                  <w:caps w:val="false"/>
                  <w:smallCaps w:val="false"/>
                  <w:sz w:val="20"/>
                </w:rPr>
                <w:t>Certification of Chief Financial Officer pursuant to Rule 13a-14(a)/15d-14(a).</w:t>
              </w:r>
            </w:hyperlink>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32.1</w:t>
            </w:r>
          </w:p>
        </w:tc>
        <w:tc>
          <w:tcPr>
            <w:tcW w:w="6882" w:type="dxa"/>
            <w:tcBorders/>
            <w:vAlign w:val="center"/>
          </w:tcPr>
          <w:p>
            <w:pPr>
              <w:pStyle w:val="TableContents"/>
              <w:bidi w:val="0"/>
              <w:spacing w:lineRule="auto" w:line="357" w:before="43" w:after="20"/>
              <w:ind w:left="0" w:right="0" w:hanging="0"/>
              <w:jc w:val="left"/>
              <w:rPr/>
            </w:pPr>
            <w:hyperlink w:anchor="tmb-20260630xex32d1.htm">
              <w:r>
                <w:rPr>
                  <w:rStyle w:val="InternetLink"/>
                  <w:rFonts w:ascii="Times New Roman;Times;serif" w:hAnsi="Times New Roman;Times;serif"/>
                  <w:b w:val="false"/>
                  <w:i w:val="false"/>
                  <w:caps w:val="false"/>
                  <w:smallCaps w:val="false"/>
                  <w:sz w:val="20"/>
                </w:rPr>
                <w:t>Certification of Chief Executive Officer pursuant to 18 U.S.C. Section 1350.</w:t>
              </w:r>
            </w:hyperlink>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32.2</w:t>
            </w:r>
          </w:p>
        </w:tc>
        <w:tc>
          <w:tcPr>
            <w:tcW w:w="6882" w:type="dxa"/>
            <w:tcBorders/>
            <w:vAlign w:val="center"/>
          </w:tcPr>
          <w:p>
            <w:pPr>
              <w:pStyle w:val="TableContents"/>
              <w:bidi w:val="0"/>
              <w:spacing w:lineRule="auto" w:line="357" w:before="43" w:after="20"/>
              <w:ind w:left="0" w:right="0" w:hanging="0"/>
              <w:jc w:val="left"/>
              <w:rPr/>
            </w:pPr>
            <w:hyperlink w:anchor="tmb-20260630xex32d2.htm">
              <w:r>
                <w:rPr>
                  <w:rStyle w:val="InternetLink"/>
                  <w:rFonts w:ascii="Times New Roman;Times;serif" w:hAnsi="Times New Roman;Times;serif"/>
                  <w:b w:val="false"/>
                  <w:i w:val="false"/>
                  <w:caps w:val="false"/>
                  <w:smallCaps w:val="false"/>
                  <w:sz w:val="20"/>
                </w:rPr>
                <w:t>Certification of Chief Financial Officer pursuant to 18 U.S.C. Section 1350.</w:t>
              </w:r>
            </w:hyperlink>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101.INS</w:t>
            </w:r>
          </w:p>
        </w:tc>
        <w:tc>
          <w:tcPr>
            <w:tcW w:w="6882" w:type="dxa"/>
            <w:tcBorders/>
            <w:vAlign w:val="center"/>
          </w:tcPr>
          <w:p>
            <w:pPr>
              <w:pStyle w:val="TableContents"/>
              <w:bidi w:val="0"/>
              <w:spacing w:lineRule="auto" w:line="357" w:before="43" w:after="20"/>
              <w:ind w:left="0" w:right="0" w:hanging="0"/>
              <w:jc w:val="left"/>
              <w:rPr>
                <w:rFonts w:ascii="Times New Roman;Times;serif" w:hAnsi="Times New Roman;Times;serif"/>
                <w:sz w:val="16"/>
              </w:rPr>
            </w:pPr>
            <w:r>
              <w:rPr>
                <w:rFonts w:ascii="Times New Roman;Times;serif" w:hAnsi="Times New Roman;Times;serif"/>
                <w:sz w:val="16"/>
              </w:rPr>
              <w:t>Inline XBRL Instance Document - the instance document does not appear in the Interactive Data File because its XBRL tags are embedded within the Inline XBRL document.</w:t>
            </w:r>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101.SCH</w:t>
            </w:r>
          </w:p>
        </w:tc>
        <w:tc>
          <w:tcPr>
            <w:tcW w:w="6882" w:type="dxa"/>
            <w:tcBorders/>
            <w:vAlign w:val="center"/>
          </w:tcPr>
          <w:p>
            <w:pPr>
              <w:pStyle w:val="TableContents"/>
              <w:bidi w:val="0"/>
              <w:spacing w:lineRule="auto" w:line="357" w:before="43" w:after="20"/>
              <w:ind w:left="0" w:right="0" w:hanging="0"/>
              <w:jc w:val="left"/>
              <w:rPr>
                <w:rFonts w:ascii="Times New Roman;Times;serif" w:hAnsi="Times New Roman;Times;serif"/>
                <w:sz w:val="16"/>
              </w:rPr>
            </w:pPr>
            <w:r>
              <w:rPr>
                <w:rFonts w:ascii="Times New Roman;Times;serif" w:hAnsi="Times New Roman;Times;serif"/>
                <w:sz w:val="16"/>
              </w:rPr>
              <w:t>Inline XBRL Taxonomy Extension Schema Document</w:t>
            </w:r>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101.CAL</w:t>
            </w:r>
          </w:p>
        </w:tc>
        <w:tc>
          <w:tcPr>
            <w:tcW w:w="6882" w:type="dxa"/>
            <w:tcBorders/>
            <w:vAlign w:val="center"/>
          </w:tcPr>
          <w:p>
            <w:pPr>
              <w:pStyle w:val="TableContents"/>
              <w:bidi w:val="0"/>
              <w:spacing w:lineRule="auto" w:line="357" w:before="43" w:after="20"/>
              <w:ind w:left="0" w:right="0" w:hanging="0"/>
              <w:jc w:val="left"/>
              <w:rPr>
                <w:rFonts w:ascii="Times New Roman;Times;serif" w:hAnsi="Times New Roman;Times;serif"/>
                <w:sz w:val="16"/>
              </w:rPr>
            </w:pPr>
            <w:r>
              <w:rPr>
                <w:rFonts w:ascii="Times New Roman;Times;serif" w:hAnsi="Times New Roman;Times;serif"/>
                <w:sz w:val="16"/>
              </w:rPr>
              <w:t>Inline XBRL Taxonomy Extension Calculation Linkbase Document</w:t>
            </w:r>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101.DEF</w:t>
            </w:r>
          </w:p>
        </w:tc>
        <w:tc>
          <w:tcPr>
            <w:tcW w:w="6882" w:type="dxa"/>
            <w:tcBorders/>
            <w:vAlign w:val="center"/>
          </w:tcPr>
          <w:p>
            <w:pPr>
              <w:pStyle w:val="TableContents"/>
              <w:bidi w:val="0"/>
              <w:spacing w:lineRule="auto" w:line="357" w:before="43" w:after="20"/>
              <w:ind w:left="0" w:right="0" w:hanging="0"/>
              <w:jc w:val="left"/>
              <w:rPr>
                <w:rFonts w:ascii="Times New Roman;Times;serif" w:hAnsi="Times New Roman;Times;serif"/>
                <w:sz w:val="16"/>
              </w:rPr>
            </w:pPr>
            <w:r>
              <w:rPr>
                <w:rFonts w:ascii="Times New Roman;Times;serif" w:hAnsi="Times New Roman;Times;serif"/>
                <w:sz w:val="16"/>
              </w:rPr>
              <w:t>Inline XBRL Taxonomy Extension Definition Linkbase Document</w:t>
            </w:r>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101.LAB</w:t>
            </w:r>
          </w:p>
        </w:tc>
        <w:tc>
          <w:tcPr>
            <w:tcW w:w="6882" w:type="dxa"/>
            <w:tcBorders/>
            <w:vAlign w:val="center"/>
          </w:tcPr>
          <w:p>
            <w:pPr>
              <w:pStyle w:val="TableContents"/>
              <w:bidi w:val="0"/>
              <w:spacing w:lineRule="auto" w:line="357" w:before="43" w:after="20"/>
              <w:ind w:left="0" w:right="0" w:hanging="0"/>
              <w:jc w:val="left"/>
              <w:rPr>
                <w:rFonts w:ascii="Times New Roman;Times;serif" w:hAnsi="Times New Roman;Times;serif"/>
                <w:sz w:val="16"/>
              </w:rPr>
            </w:pPr>
            <w:r>
              <w:rPr>
                <w:rFonts w:ascii="Times New Roman;Times;serif" w:hAnsi="Times New Roman;Times;serif"/>
                <w:sz w:val="16"/>
              </w:rPr>
              <w:t>Inline XBRL Taxonomy Extension Label Linkbase Document</w:t>
            </w:r>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101.PRE</w:t>
            </w:r>
          </w:p>
        </w:tc>
        <w:tc>
          <w:tcPr>
            <w:tcW w:w="6882" w:type="dxa"/>
            <w:tcBorders/>
            <w:vAlign w:val="center"/>
          </w:tcPr>
          <w:p>
            <w:pPr>
              <w:pStyle w:val="TableContents"/>
              <w:bidi w:val="0"/>
              <w:spacing w:lineRule="auto" w:line="357" w:before="43" w:after="20"/>
              <w:ind w:left="0" w:right="0" w:hanging="0"/>
              <w:jc w:val="left"/>
              <w:rPr>
                <w:rFonts w:ascii="Times New Roman;Times;serif" w:hAnsi="Times New Roman;Times;serif"/>
                <w:sz w:val="16"/>
              </w:rPr>
            </w:pPr>
            <w:r>
              <w:rPr>
                <w:rFonts w:ascii="Times New Roman;Times;serif" w:hAnsi="Times New Roman;Times;serif"/>
                <w:sz w:val="16"/>
              </w:rPr>
              <w:t>Inline XBRL Taxonomy Extension Presentation Linkbase Document</w:t>
            </w:r>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104</w:t>
            </w:r>
          </w:p>
        </w:tc>
        <w:tc>
          <w:tcPr>
            <w:tcW w:w="6882" w:type="dxa"/>
            <w:tcBorders/>
            <w:vAlign w:val="center"/>
          </w:tcPr>
          <w:p>
            <w:pPr>
              <w:pStyle w:val="TableContents"/>
              <w:bidi w:val="0"/>
              <w:spacing w:lineRule="auto" w:line="357" w:before="43" w:after="20"/>
              <w:ind w:left="0" w:right="0" w:hanging="0"/>
              <w:jc w:val="left"/>
              <w:rPr>
                <w:rFonts w:ascii="Times New Roman;Times;serif" w:hAnsi="Times New Roman;Times;serif"/>
                <w:sz w:val="16"/>
              </w:rPr>
            </w:pPr>
            <w:r>
              <w:rPr>
                <w:rFonts w:ascii="Times New Roman;Times;serif" w:hAnsi="Times New Roman;Times;serif"/>
                <w:sz w:val="16"/>
              </w:rPr>
              <w:t>Cover Page Interactive Data File (formatted as Inline XBRL and contained in Exhibit 101)</w:t>
            </w:r>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6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r>
      <w:tr>
        <w:trPr/>
        <w:tc>
          <w:tcPr>
            <w:tcW w:w="64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88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c>
          <w:tcPr>
            <w:tcW w:w="6882" w:type="dxa"/>
            <w:tcBorders/>
            <w:vAlign w:val="center"/>
          </w:tcPr>
          <w:p>
            <w:pPr>
              <w:pStyle w:val="TableContents"/>
              <w:bidi w:val="0"/>
              <w:spacing w:lineRule="auto" w:line="357" w:before="43" w:after="20"/>
              <w:ind w:left="0" w:right="0" w:hanging="0"/>
              <w:jc w:val="left"/>
              <w:rPr>
                <w:rFonts w:ascii="Times New Roman;Times;serif" w:hAnsi="Times New Roman;Times;serif"/>
                <w:sz w:val="16"/>
              </w:rPr>
            </w:pPr>
            <w:r>
              <w:rPr>
                <w:rFonts w:ascii="Times New Roman;Times;serif" w:hAnsi="Times New Roman;Times;serif"/>
                <w:sz w:val="16"/>
              </w:rPr>
              <w:t>Filed herewith.</w:t>
            </w:r>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c>
          <w:tcPr>
            <w:tcW w:w="6882" w:type="dxa"/>
            <w:tcBorders/>
            <w:vAlign w:val="center"/>
          </w:tcPr>
          <w:p>
            <w:pPr>
              <w:pStyle w:val="TableContents"/>
              <w:bidi w:val="0"/>
              <w:spacing w:lineRule="auto" w:line="357" w:before="43" w:after="20"/>
              <w:ind w:left="0" w:right="0" w:hanging="0"/>
              <w:jc w:val="left"/>
              <w:rPr>
                <w:rFonts w:ascii="Times New Roman;Times;serif" w:hAnsi="Times New Roman;Times;serif"/>
                <w:sz w:val="16"/>
              </w:rPr>
            </w:pPr>
            <w:r>
              <w:rPr>
                <w:rFonts w:ascii="Times New Roman;Times;serif" w:hAnsi="Times New Roman;Times;serif"/>
                <w:sz w:val="16"/>
              </w:rPr>
              <w:t>Furnished herewith.</w:t>
            </w:r>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r>
      <w:tr>
        <w:trPr/>
        <w:tc>
          <w:tcPr>
            <w:tcW w:w="649" w:type="dxa"/>
            <w:tcBorders/>
            <w:vAlign w:val="center"/>
          </w:tcPr>
          <w:p>
            <w:pPr>
              <w:pStyle w:val="TableContents"/>
              <w:bidi w:val="0"/>
              <w:spacing w:lineRule="auto" w:line="357" w:before="43" w:after="20"/>
              <w:ind w:left="0" w:right="0" w:hanging="0"/>
              <w:jc w:val="center"/>
              <w:rPr>
                <w:rFonts w:ascii="Times New Roman;Times;serif" w:hAnsi="Times New Roman;Times;serif"/>
                <w:sz w:val="16"/>
              </w:rPr>
            </w:pPr>
            <w:r>
              <w:rPr>
                <w:rFonts w:ascii="Times New Roman;Times;serif" w:hAnsi="Times New Roman;Times;serif"/>
                <w:sz w:val="16"/>
              </w:rPr>
              <w:t>§</w:t>
            </w:r>
          </w:p>
        </w:tc>
        <w:tc>
          <w:tcPr>
            <w:tcW w:w="6882" w:type="dxa"/>
            <w:tcBorders/>
            <w:vAlign w:val="center"/>
          </w:tcPr>
          <w:p>
            <w:pPr>
              <w:pStyle w:val="TableContents"/>
              <w:bidi w:val="0"/>
              <w:spacing w:lineRule="auto" w:line="357" w:before="43" w:after="20"/>
              <w:ind w:left="0" w:right="0" w:hanging="0"/>
              <w:jc w:val="left"/>
              <w:rPr>
                <w:rFonts w:ascii="Times New Roman;Times;serif" w:hAnsi="Times New Roman;Times;serif"/>
                <w:sz w:val="16"/>
              </w:rPr>
            </w:pPr>
            <w:r>
              <w:rPr>
                <w:rFonts w:ascii="Times New Roman;Times;serif" w:hAnsi="Times New Roman;Times;serif"/>
                <w:sz w:val="16"/>
              </w:rPr>
              <w:t>Certain portions of this exhibit (indicated by “[***]”) have been redacted pursuant to Regulation S-K, Item 601(a)(6).</w:t>
            </w:r>
          </w:p>
        </w:tc>
        <w:tc>
          <w:tcPr>
            <w:tcW w:w="407"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i/>
          <w:sz w:val="20"/>
        </w:rPr>
      </w:pPr>
      <w:bookmarkStart w:id="1454" w:name="SIGNATURES"/>
      <w:bookmarkStart w:id="1455" w:name="_421c94c7_368a_453b_af93_7904e945f942"/>
      <w:bookmarkEnd w:id="1454"/>
      <w:bookmarkEnd w:id="1455"/>
      <w:r>
        <w:rPr>
          <w:rFonts w:ascii="Times New Roman;Times;serif" w:hAnsi="Times New Roman;Times;serif"/>
          <w:b/>
          <w:i/>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Act of 1934, the registrant has duly caused this report to be signed on its behalf by the undersigned thereunto duly authorized.</w:t>
      </w:r>
    </w:p>
    <w:tbl>
      <w:tblPr>
        <w:tblW w:w="2601" w:type="dxa"/>
        <w:jc w:val="left"/>
        <w:tblInd w:w="0" w:type="dxa"/>
        <w:tblLayout w:type="fixed"/>
        <w:tblCellMar>
          <w:top w:w="0" w:type="dxa"/>
          <w:left w:w="0" w:type="dxa"/>
          <w:bottom w:w="0" w:type="dxa"/>
          <w:right w:w="0" w:type="dxa"/>
        </w:tblCellMar>
      </w:tblPr>
      <w:tblGrid>
        <w:gridCol w:w="124"/>
        <w:gridCol w:w="406"/>
        <w:gridCol w:w="2071"/>
      </w:tblGrid>
      <w:tr>
        <w:trPr/>
        <w:tc>
          <w:tcPr>
            <w:tcW w:w="124" w:type="dxa"/>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Yesway, Inc.</w:t>
            </w:r>
          </w:p>
        </w:tc>
      </w:tr>
      <w:tr>
        <w:trPr/>
        <w:tc>
          <w:tcPr>
            <w:tcW w:w="124" w:type="dxa"/>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N. Trkla</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N. Trkla</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240"/>
        <w:ind w:left="0" w:right="0" w:hanging="0"/>
        <w:jc w:val="both"/>
        <w:rPr/>
      </w:pPr>
      <w:r>
        <w:rPr/>
        <w:t>​</w:t>
      </w:r>
    </w:p>
    <w:tbl>
      <w:tblPr>
        <w:tblW w:w="9005" w:type="dxa"/>
        <w:jc w:val="left"/>
        <w:tblInd w:w="0" w:type="dxa"/>
        <w:tblLayout w:type="fixed"/>
        <w:tblCellMar>
          <w:top w:w="0" w:type="dxa"/>
          <w:left w:w="0" w:type="dxa"/>
          <w:bottom w:w="28" w:type="dxa"/>
          <w:right w:w="0" w:type="dxa"/>
        </w:tblCellMar>
      </w:tblPr>
      <w:tblGrid>
        <w:gridCol w:w="1711"/>
        <w:gridCol w:w="346"/>
        <w:gridCol w:w="5101"/>
        <w:gridCol w:w="346"/>
        <w:gridCol w:w="1501"/>
      </w:tblGrid>
      <w:tr>
        <w:trPr/>
        <w:tc>
          <w:tcPr>
            <w:tcW w:w="171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51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15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171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50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17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N. Trkla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50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13, 2026</w:t>
            </w:r>
          </w:p>
        </w:tc>
      </w:tr>
      <w:tr>
        <w:trPr/>
        <w:tc>
          <w:tcPr>
            <w:tcW w:w="17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N. Trkla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501" w:type="dxa"/>
            <w:tcBorders/>
            <w:tcMar>
              <w:bottom w:w="0" w:type="dxa"/>
            </w:tcMar>
            <w:vAlign w:val="center"/>
          </w:tcPr>
          <w:p>
            <w:pPr>
              <w:pStyle w:val="TableContents"/>
              <w:bidi w:val="0"/>
              <w:spacing w:before="0" w:after="0"/>
              <w:ind w:left="0" w:right="0" w:hanging="0"/>
              <w:jc w:val="left"/>
              <w:rPr/>
            </w:pPr>
            <w:r>
              <w:rPr/>
              <w:t>​</w:t>
            </w:r>
          </w:p>
        </w:tc>
      </w:tr>
      <w:tr>
        <w:trPr/>
        <w:tc>
          <w:tcPr>
            <w:tcW w:w="17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501" w:type="dxa"/>
            <w:tcBorders/>
            <w:tcMar>
              <w:bottom w:w="0" w:type="dxa"/>
            </w:tcMar>
            <w:vAlign w:val="center"/>
          </w:tcPr>
          <w:p>
            <w:pPr>
              <w:pStyle w:val="TableContents"/>
              <w:bidi w:val="0"/>
              <w:spacing w:before="0" w:after="0"/>
              <w:ind w:left="0" w:right="0" w:hanging="0"/>
              <w:jc w:val="left"/>
              <w:rPr/>
            </w:pPr>
            <w:r>
              <w:rPr/>
              <w:t>​</w:t>
            </w:r>
          </w:p>
        </w:tc>
      </w:tr>
      <w:tr>
        <w:trPr/>
        <w:tc>
          <w:tcPr>
            <w:tcW w:w="17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Ericka L. Ayles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50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13, 2026</w:t>
            </w:r>
          </w:p>
        </w:tc>
      </w:tr>
      <w:tr>
        <w:trPr/>
        <w:tc>
          <w:tcPr>
            <w:tcW w:w="17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Ericka L. Ayles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501"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bookmarkStart w:id="1456" w:name="tmb-20260630xex31d1.htm"/>
      <w:bookmarkStart w:id="1457" w:name="kstmb20260630xex31d1"/>
      <w:bookmarkEnd w:id="1456"/>
      <w:bookmarkEnd w:id="1457"/>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Thomas N. Trkla, certify that:</w:t>
      </w:r>
    </w:p>
    <w:tbl>
      <w:tblPr>
        <w:tblW w:w="5725" w:type="dxa"/>
        <w:jc w:val="left"/>
        <w:tblInd w:w="0" w:type="dxa"/>
        <w:tblLayout w:type="fixed"/>
        <w:tblCellMar>
          <w:top w:w="0" w:type="dxa"/>
          <w:left w:w="0" w:type="dxa"/>
          <w:bottom w:w="0" w:type="dxa"/>
          <w:right w:w="0" w:type="dxa"/>
        </w:tblCellMar>
      </w:tblPr>
      <w:tblGrid>
        <w:gridCol w:w="170"/>
        <w:gridCol w:w="555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5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Yesway,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Layout w:type="fixed"/>
        <w:tblCellMar>
          <w:top w:w="0" w:type="dxa"/>
          <w:left w:w="0" w:type="dxa"/>
          <w:bottom w:w="0" w:type="dxa"/>
          <w:right w:w="0" w:type="dxa"/>
        </w:tblCellMar>
      </w:tblPr>
      <w:tblGrid>
        <w:gridCol w:w="23"/>
        <w:gridCol w:w="24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5268" w:type="dxa"/>
        <w:jc w:val="left"/>
        <w:tblInd w:w="0" w:type="dxa"/>
        <w:tblLayout w:type="fixed"/>
        <w:tblCellMar>
          <w:top w:w="0" w:type="dxa"/>
          <w:left w:w="0" w:type="dxa"/>
          <w:bottom w:w="0" w:type="dxa"/>
          <w:right w:w="0" w:type="dxa"/>
        </w:tblCellMar>
      </w:tblPr>
      <w:tblGrid>
        <w:gridCol w:w="1951"/>
        <w:gridCol w:w="406"/>
        <w:gridCol w:w="291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91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11" w:type="dxa"/>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N. Trkla</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91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N. Trkla</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91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58" w:name="tmb-20260630xex31d2.htm"/>
      <w:bookmarkStart w:id="1459" w:name="kstmb20260630xex31d2"/>
      <w:bookmarkEnd w:id="1458"/>
      <w:bookmarkEnd w:id="1459"/>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Ericka L. Ayles, certify that:</w:t>
      </w:r>
    </w:p>
    <w:tbl>
      <w:tblPr>
        <w:tblW w:w="5725" w:type="dxa"/>
        <w:jc w:val="left"/>
        <w:tblInd w:w="0" w:type="dxa"/>
        <w:tblLayout w:type="fixed"/>
        <w:tblCellMar>
          <w:top w:w="0" w:type="dxa"/>
          <w:left w:w="0" w:type="dxa"/>
          <w:bottom w:w="0" w:type="dxa"/>
          <w:right w:w="0" w:type="dxa"/>
        </w:tblCellMar>
      </w:tblPr>
      <w:tblGrid>
        <w:gridCol w:w="170"/>
        <w:gridCol w:w="555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5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Yesway,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Layout w:type="fixed"/>
        <w:tblCellMar>
          <w:top w:w="0" w:type="dxa"/>
          <w:left w:w="0" w:type="dxa"/>
          <w:bottom w:w="0" w:type="dxa"/>
          <w:right w:w="0" w:type="dxa"/>
        </w:tblCellMar>
      </w:tblPr>
      <w:tblGrid>
        <w:gridCol w:w="23"/>
        <w:gridCol w:w="24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5508" w:type="dxa"/>
        <w:jc w:val="left"/>
        <w:tblInd w:w="0" w:type="dxa"/>
        <w:tblLayout w:type="fixed"/>
        <w:tblCellMar>
          <w:top w:w="0" w:type="dxa"/>
          <w:left w:w="0" w:type="dxa"/>
          <w:bottom w:w="0" w:type="dxa"/>
          <w:right w:w="0" w:type="dxa"/>
        </w:tblCellMar>
      </w:tblPr>
      <w:tblGrid>
        <w:gridCol w:w="1951"/>
        <w:gridCol w:w="406"/>
        <w:gridCol w:w="315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15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51" w:type="dxa"/>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Ericka L. Ayles</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15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Ericka L. Ayles</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1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60" w:name="tmb-20260630xex32d1.htm"/>
      <w:bookmarkStart w:id="1461" w:name="kstmb20260630xex32d1"/>
      <w:bookmarkEnd w:id="1460"/>
      <w:bookmarkEnd w:id="1461"/>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on Form 10-Q of Yesway, Inc. (the “Company”) for the period ended June 30, 2026 as filed with the Securities and Exchange Commission on the date hereof (the “Report”), I certify, pursuant to 18 U.S.C. § 1350, as adopted pursuant to § 906 of the Sarbanes-Oxley Act of 2002, that, to my knowledge: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tbl>
      <w:tblPr>
        <w:tblW w:w="5268" w:type="dxa"/>
        <w:jc w:val="left"/>
        <w:tblInd w:w="0" w:type="dxa"/>
        <w:tblLayout w:type="fixed"/>
        <w:tblCellMar>
          <w:top w:w="0" w:type="dxa"/>
          <w:left w:w="0" w:type="dxa"/>
          <w:bottom w:w="0" w:type="dxa"/>
          <w:right w:w="0" w:type="dxa"/>
        </w:tblCellMar>
      </w:tblPr>
      <w:tblGrid>
        <w:gridCol w:w="1951"/>
        <w:gridCol w:w="406"/>
        <w:gridCol w:w="291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91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11" w:type="dxa"/>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N. Trkla</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91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N. Trkla</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91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62" w:name="tmb-20260630xex32d2.htm"/>
      <w:bookmarkStart w:id="1463" w:name="kstmb20260630xex32d2"/>
      <w:bookmarkEnd w:id="1462"/>
      <w:bookmarkEnd w:id="1463"/>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Yesway, Inc. (the “Company”) for the period ended June 30, 2026 as filed with the Securities and Exchange Commission on the date hereof (the “Report”), I certify, pursuant to 18 U.S.C. § 1350, as adopted pursuant to § 906 of the Sarbanes-Oxley Act of 2002, that, to my knowledge: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tbl>
      <w:tblPr>
        <w:tblW w:w="5508" w:type="dxa"/>
        <w:jc w:val="left"/>
        <w:tblInd w:w="0" w:type="dxa"/>
        <w:tblLayout w:type="fixed"/>
        <w:tblCellMar>
          <w:top w:w="0" w:type="dxa"/>
          <w:left w:w="0" w:type="dxa"/>
          <w:bottom w:w="0" w:type="dxa"/>
          <w:right w:w="0" w:type="dxa"/>
        </w:tblCellMar>
      </w:tblPr>
      <w:tblGrid>
        <w:gridCol w:w="1951"/>
        <w:gridCol w:w="406"/>
        <w:gridCol w:w="315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51" w:type="dxa"/>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Ericka L. Ayles</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w:t>
            </w:r>
          </w:p>
        </w:tc>
        <w:tc>
          <w:tcPr>
            <w:tcW w:w="315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Ericka L. Ayles</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9836/000110465926049520/tm2527636d21_ex3-1.htm" TargetMode="External"/><Relationship Id="rId3" Type="http://schemas.openxmlformats.org/officeDocument/2006/relationships/hyperlink" Target="https://www.sec.gov/Archives/edgar/data/1859836/000110465926049520/tm2527636d21_ex3-2.htm" TargetMode="External"/><Relationship Id="rId4" Type="http://schemas.openxmlformats.org/officeDocument/2006/relationships/hyperlink" Target="https://www.sec.gov/Archives/edgar/data/1859836/000110465921117942/tm2114709d8_ex4-1.htm" TargetMode="External"/><Relationship Id="rId5" Type="http://schemas.openxmlformats.org/officeDocument/2006/relationships/hyperlink" Target="https://www.sec.gov/Archives/edgar/data/1859836/000110465926049520/tm2527636d21_ex10-1.htm" TargetMode="External"/><Relationship Id="rId6" Type="http://schemas.openxmlformats.org/officeDocument/2006/relationships/hyperlink" Target="https://www.sec.gov/Archives/edgar/data/1859836/000110465926049520/tm2527636d21_ex10-2.htm" TargetMode="External"/><Relationship Id="rId7" Type="http://schemas.openxmlformats.org/officeDocument/2006/relationships/hyperlink" Target="https://www.sec.gov/Archives/edgar/data/1859836/000110465926049520/tm2527636d21_ex10-3.htm" TargetMode="External"/><Relationship Id="rId8" Type="http://schemas.openxmlformats.org/officeDocument/2006/relationships/hyperlink" Target="https://www.sec.gov/Archives/edgar/data/1859836/000110465926049520/tm2527636d21_ex10-4.htm" TargetMode="External"/><Relationship Id="rId9" Type="http://schemas.openxmlformats.org/officeDocument/2006/relationships/hyperlink" Target="https://www.sec.gov/Archives/edgar/data/1859836/000110465926048521/tm2527636d19_ex99-1.htm" TargetMode="External"/><Relationship Id="rId10" Type="http://schemas.openxmlformats.org/officeDocument/2006/relationships/hyperlink" Target="https://www.sec.gov/Archives/edgar/data/1859836/000110465926048521/tm2527636d19_ex99-2.htm" TargetMode="External"/><Relationship Id="rId11" Type="http://schemas.openxmlformats.org/officeDocument/2006/relationships/hyperlink" Target="https://www.sec.gov/Archives/edgar/data/1859836/000110465926035973/tm2527636d8_ex10-14.htm" TargetMode="External"/><Relationship Id="rId12" Type="http://schemas.openxmlformats.org/officeDocument/2006/relationships/hyperlink" Target="https://www.sec.gov/Archives/edgar/data/1859836/000110465926035973/tm2527636d8_ex10-15.htm" TargetMode="External"/><Relationship Id="rId13" Type="http://schemas.openxmlformats.org/officeDocument/2006/relationships/hyperlink" Target="https://www.sec.gov/Archives/edgar/data/1859836/000110465926035973/tm2527636d8_ex10-16.htm" TargetMode="External"/><Relationship Id="rId14" Type="http://schemas.openxmlformats.org/officeDocument/2006/relationships/hyperlink" Target="https://www.sec.gov/Archives/edgar/data/1859836/000110465926069252/tmb-20260331xex10d10.htm" TargetMode="External"/><Relationship Id="rId15" Type="http://schemas.openxmlformats.org/officeDocument/2006/relationships/hyperlink" Target="https://www.sec.gov/Archives/edgar/data/1859836/000110465926069252/tmb-20260331xex10d11.htm" TargetMode="External"/><Relationship Id="rId16" Type="http://schemas.openxmlformats.org/officeDocument/2006/relationships/hyperlink" Target="https://www.sec.gov/Archives/edgar/data/1859836/000110465926069252/tmb-20260331xex10d12.htm" TargetMode="External"/><Relationship Id="rId17" Type="http://schemas.openxmlformats.org/officeDocument/2006/relationships/hyperlink" Target="https://www.sec.gov/Archives/edgar/data/1859836/000110465926069252/tmb-20260331xex10d13.htm" TargetMode="External"/><Relationship Id="rId18" Type="http://schemas.openxmlformats.org/officeDocument/2006/relationships/hyperlink" Target="https://www.sec.gov/Archives/edgar/data/1859836/000110465926069252/tmb-20260331xex10d14.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29538</Words>
  <Characters>162341</Characters>
  <CharactersWithSpaces>193319</CharactersWithSpaces>
  <Paragraphs>6452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